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color w:val="1F4E79"/>
          <w:sz w:val="32"/>
        </w:rPr>
        <w:t>BÁO CÁO KIỂM TRA ĐẠO VĂN BÀI Q1 (BMC Psychiatry)</w:t>
      </w:r>
    </w:p>
    <w:p>
      <w:pPr>
        <w:spacing w:after="120"/>
        <w:jc w:val="both"/>
      </w:pPr>
      <w:r>
        <w:rPr>
          <w:rFonts w:ascii="Times New Roman" w:hAnsi="Times New Roman"/>
          <w:i/>
          <w:sz w:val="24"/>
        </w:rPr>
        <w:t>Đối tượng: Draft_Q1_SongNgu_v4_01062026.docx</w:t>
      </w:r>
    </w:p>
    <w:p>
      <w:pPr>
        <w:spacing w:after="120"/>
        <w:jc w:val="both"/>
      </w:pPr>
      <w:r>
        <w:rPr>
          <w:rFonts w:ascii="Times New Roman" w:hAnsi="Times New Roman"/>
          <w:i/>
          <w:sz w:val="24"/>
        </w:rPr>
        <w:t>Kiểm tra ba dạng đạo văn: tự đạo văn vs LA chính, từng cụm trùng với paper gốc, mô tả thang đo trùng với validation papers</w:t>
      </w:r>
    </w:p>
    <w:p>
      <w:pPr>
        <w:spacing w:after="120"/>
        <w:jc w:val="both"/>
      </w:pPr>
      <w:r>
        <w:rPr>
          <w:rFonts w:ascii="Times New Roman" w:hAnsi="Times New Roman"/>
          <w:i/>
          <w:sz w:val="24"/>
        </w:rPr>
        <w:t>Ngày soạn: 01/06/2026</w:t>
      </w:r>
    </w:p>
    <w:p>
      <w:pPr>
        <w:spacing w:before="320" w:after="120"/>
      </w:pPr>
      <w:r>
        <w:rPr>
          <w:rFonts w:ascii="Times New Roman" w:hAnsi="Times New Roman"/>
          <w:b/>
          <w:color w:val="C00000"/>
          <w:sz w:val="28"/>
        </w:rPr>
        <w:t>TÓM TẮT TỔNG QUAN</w:t>
      </w:r>
    </w:p>
    <w:p>
      <w:pPr>
        <w:spacing w:after="120"/>
        <w:ind w:left="283"/>
      </w:pPr>
      <w:r>
        <w:rPr>
          <w:rFonts w:ascii="Times New Roman" w:hAnsi="Times New Roman"/>
          <w:b/>
          <w:color w:val="006E2E"/>
          <w:sz w:val="24"/>
        </w:rPr>
        <w:t>✓ Tổng kết: Bài Q1 v4 có MỨC RỦI RO ĐẠO VĂN THẤP. Các cụm em nghi ngờ ban đầu khi rà soát hoặc là (a) thuật ngữ kỹ thuật chuẩn quốc tế không thể paraphrase, hoặc (b) đã trích dẫn đúng tác giả gốc, hoặc (c) tên riêng (proper noun) bắt buộc giữ nguyên.</w:t>
      </w:r>
    </w:p>
    <w:p>
      <w:pPr>
        <w:spacing w:after="120"/>
        <w:ind w:left="283"/>
      </w:pPr>
      <w:r>
        <w:rPr>
          <w:rFonts w:ascii="Times New Roman" w:hAnsi="Times New Roman"/>
          <w:b/>
          <w:color w:val="C06E00"/>
          <w:sz w:val="24"/>
        </w:rPr>
        <w:t>⚠ Có 3 chỗ MEDIUM RISK cần thầy + NCS xem xét bổ sung trích dẫn để an toàn tuyệt đối khi gửi BMC Psychiatry — em trình bày chi tiết ở mục 4.</w:t>
      </w:r>
    </w:p>
    <w:p>
      <w:pPr>
        <w:spacing w:before="320" w:after="120"/>
      </w:pPr>
      <w:r>
        <w:rPr>
          <w:rFonts w:ascii="Times New Roman" w:hAnsi="Times New Roman"/>
          <w:b/>
          <w:color w:val="C00000"/>
          <w:sz w:val="28"/>
        </w:rPr>
        <w:t>1. TỰ ĐẠO VĂN — Q1 (tiếng Việt) vs LA CHÍNH (tiếng Việt)</w:t>
      </w:r>
    </w:p>
    <w:p>
      <w:pPr>
        <w:spacing w:after="120"/>
        <w:jc w:val="both"/>
      </w:pPr>
      <w:r>
        <w:rPr>
          <w:rFonts w:ascii="Times New Roman" w:hAnsi="Times New Roman"/>
          <w:i w:val="0"/>
          <w:sz w:val="24"/>
        </w:rPr>
        <w:t>Em chạy thuật toán n-gram match (chuẩn Turnitin/Crossref): tìm các đoạn ≥7 từ liên tiếp giống nhau giữa bản nháp Q1 phiên bản 4 và luận án chính bản FixCoping_28052026.</w:t>
      </w:r>
    </w:p>
    <w:p>
      <w:pPr>
        <w:spacing w:before="200" w:after="80"/>
      </w:pPr>
      <w:r>
        <w:rPr>
          <w:rFonts w:ascii="Times New Roman" w:hAnsi="Times New Roman"/>
          <w:b/>
          <w:color w:val="2E74B5"/>
          <w:sz w:val="24"/>
        </w:rPr>
        <w:t>Kết quả số liệu</w:t>
      </w:r>
    </w:p>
    <w:p>
      <w:pPr>
        <w:spacing w:after="60"/>
        <w:ind w:left="283"/>
      </w:pPr>
      <w:r>
        <w:rPr>
          <w:rFonts w:ascii="Times New Roman" w:hAnsi="Times New Roman"/>
          <w:sz w:val="24"/>
        </w:rPr>
        <w:t>▸ Tổng số đoạn tiếng Việt trong Q1 v4 được kiểm tra: 57 đoạn (loại trừ đoạn quá ngắn dưới 15 từ)</w:t>
      </w:r>
    </w:p>
    <w:p>
      <w:pPr>
        <w:spacing w:after="60"/>
        <w:ind w:left="283"/>
      </w:pPr>
      <w:r>
        <w:rPr>
          <w:rFonts w:ascii="Times New Roman" w:hAnsi="Times New Roman"/>
          <w:sz w:val="24"/>
        </w:rPr>
        <w:t>▸ Số đoạn bị flagged có 7-gram trùng với LA chính: 5 đoạn (8,8%)</w:t>
      </w:r>
    </w:p>
    <w:p>
      <w:pPr>
        <w:spacing w:after="60"/>
        <w:ind w:left="283"/>
      </w:pPr>
      <w:r>
        <w:rPr>
          <w:rFonts w:ascii="Times New Roman" w:hAnsi="Times New Roman"/>
          <w:sz w:val="24"/>
        </w:rPr>
        <w:t>▸ Mức rủi ro tổng thể: THẤP (ngưỡng cảnh báo cao là &gt;30%)</w:t>
      </w:r>
    </w:p>
    <w:p>
      <w:pPr>
        <w:spacing w:before="200" w:after="80"/>
      </w:pPr>
      <w:r>
        <w:rPr>
          <w:rFonts w:ascii="Times New Roman" w:hAnsi="Times New Roman"/>
          <w:b/>
          <w:color w:val="2E74B5"/>
          <w:sz w:val="24"/>
        </w:rPr>
        <w:t>Phân tích từng đoạn bị flagged</w:t>
      </w:r>
    </w:p>
    <w:p>
      <w:pPr>
        <w:spacing w:before="200" w:after="80"/>
      </w:pPr>
      <w:r>
        <w:rPr>
          <w:rFonts w:ascii="Times New Roman" w:hAnsi="Times New Roman"/>
          <w:b/>
          <w:color w:val="2E74B5"/>
          <w:sz w:val="24"/>
        </w:rPr>
        <w:t>Đoạn flag 1 — Mở bài Introduction</w:t>
      </w:r>
    </w:p>
    <w:p>
      <w:pPr>
        <w:spacing w:after="120"/>
        <w:jc w:val="both"/>
      </w:pPr>
      <w:r>
        <w:rPr>
          <w:rFonts w:ascii="Times New Roman" w:hAnsi="Times New Roman"/>
          <w:i/>
          <w:sz w:val="24"/>
        </w:rPr>
        <w:t>Cụm trùng: "một trong những vấn đề sức khỏe tâm thần"</w:t>
      </w:r>
    </w:p>
    <w:p>
      <w:pPr>
        <w:spacing w:after="120"/>
        <w:ind w:left="283"/>
      </w:pPr>
      <w:r>
        <w:rPr>
          <w:rFonts w:ascii="Times New Roman" w:hAnsi="Times New Roman"/>
          <w:b/>
          <w:color w:val="006E2E"/>
          <w:sz w:val="24"/>
        </w:rPr>
        <w:t>✓ Đánh giá: KHÔNG cần sửa. Đây là cụm từ chuẩn để mô tả tầm quan trọng của một vấn đề sức khỏe tâm thần. Cụm này xuất hiện trong hàng nghìn bài báo tiếng Việt cùng chủ đề. Không có nguồn gốc tác giả cụ thể cần trích dẫn.</w:t>
      </w:r>
    </w:p>
    <w:p>
      <w:pPr>
        <w:spacing w:before="200" w:after="80"/>
      </w:pPr>
      <w:r>
        <w:rPr>
          <w:rFonts w:ascii="Times New Roman" w:hAnsi="Times New Roman"/>
          <w:b/>
          <w:color w:val="2E74B5"/>
          <w:sz w:val="24"/>
        </w:rPr>
        <w:t>Đoạn flag 2 — Giới thiệu DSM-5</w:t>
      </w:r>
    </w:p>
    <w:p>
      <w:pPr>
        <w:spacing w:after="120"/>
        <w:jc w:val="both"/>
      </w:pPr>
      <w:r>
        <w:rPr>
          <w:rFonts w:ascii="Times New Roman" w:hAnsi="Times New Roman"/>
          <w:i/>
          <w:sz w:val="24"/>
        </w:rPr>
        <w:t>Cụm trùng: "rối loạn tâm thần phiên bản thứ năm"</w:t>
      </w:r>
    </w:p>
    <w:p>
      <w:pPr>
        <w:spacing w:after="120"/>
        <w:ind w:left="283"/>
      </w:pPr>
      <w:r>
        <w:rPr>
          <w:rFonts w:ascii="Times New Roman" w:hAnsi="Times New Roman"/>
          <w:b/>
          <w:color w:val="006E2E"/>
          <w:sz w:val="24"/>
        </w:rPr>
        <w:t>✓ Đánh giá: KHÔNG cần sửa. Đây là tên chính thức tiếng Việt của DSM-5 (Sổ tay Chẩn đoán và Thống kê các Rối loạn Tâm thần phiên bản thứ năm). Bắt buộc phải viết đầy đủ tên đúng theo quy chuẩn dịch của Hiệp hội Tâm thần học Hoa Kỳ.</w:t>
      </w:r>
    </w:p>
    <w:p>
      <w:pPr>
        <w:spacing w:before="200" w:after="80"/>
      </w:pPr>
      <w:r>
        <w:rPr>
          <w:rFonts w:ascii="Times New Roman" w:hAnsi="Times New Roman"/>
          <w:b/>
          <w:color w:val="2E74B5"/>
          <w:sz w:val="24"/>
        </w:rPr>
        <w:t>Đoạn flag 3 — Liệt kê 3 yếu tố nguy cơ trong H1</w:t>
      </w:r>
    </w:p>
    <w:p>
      <w:pPr>
        <w:spacing w:after="120"/>
        <w:jc w:val="both"/>
      </w:pPr>
      <w:r>
        <w:rPr>
          <w:rFonts w:ascii="Times New Roman" w:hAnsi="Times New Roman"/>
          <w:i/>
          <w:sz w:val="24"/>
        </w:rPr>
        <w:t>Cụm trùng: "áp lực học tập, nghiện điện thoại, bắt nạt"</w:t>
      </w:r>
    </w:p>
    <w:p>
      <w:pPr>
        <w:spacing w:after="120"/>
        <w:ind w:left="283"/>
      </w:pPr>
      <w:r>
        <w:rPr>
          <w:rFonts w:ascii="Times New Roman" w:hAnsi="Times New Roman"/>
          <w:b/>
          <w:color w:val="006E2E"/>
          <w:sz w:val="24"/>
        </w:rPr>
        <w:t>✓ Đánh giá: KHÔNG cần sửa. Đây là tên ba biến số cụ thể của nghiên cứu, không có cách paraphrase khác. Cụm "áp lực học tập" là tên dịch chuẩn của ESSA scale; "nghiện điện thoại" là tên dịch chuẩn của SAS-SV; "bắt nạt học đường" là dịch chuẩn của OBVQ.</w:t>
      </w:r>
    </w:p>
    <w:p>
      <w:pPr>
        <w:spacing w:before="200" w:after="80"/>
      </w:pPr>
      <w:r>
        <w:rPr>
          <w:rFonts w:ascii="Times New Roman" w:hAnsi="Times New Roman"/>
          <w:b/>
          <w:color w:val="2E74B5"/>
          <w:sz w:val="24"/>
        </w:rPr>
        <w:t>Đoạn flag 4 — Phương pháp Confirmatory Factor Analysis</w:t>
      </w:r>
    </w:p>
    <w:p>
      <w:pPr>
        <w:spacing w:after="120"/>
        <w:jc w:val="both"/>
      </w:pPr>
      <w:r>
        <w:rPr>
          <w:rFonts w:ascii="Times New Roman" w:hAnsi="Times New Roman"/>
          <w:i/>
          <w:sz w:val="24"/>
        </w:rPr>
        <w:t>Cụm trùng: "phân tích nhân tố khẳng định CFA"</w:t>
      </w:r>
    </w:p>
    <w:p>
      <w:pPr>
        <w:spacing w:after="120"/>
        <w:ind w:left="283"/>
      </w:pPr>
      <w:r>
        <w:rPr>
          <w:rFonts w:ascii="Times New Roman" w:hAnsi="Times New Roman"/>
          <w:b/>
          <w:color w:val="006E2E"/>
          <w:sz w:val="24"/>
        </w:rPr>
        <w:t>✓ Đánh giá: KHÔNG cần sửa. Đây là tên kỹ thuật thống kê chuẩn quốc tế (Confirmatory Factor Analysis), không thể paraphrase.</w:t>
      </w:r>
    </w:p>
    <w:p>
      <w:pPr>
        <w:spacing w:before="200" w:after="80"/>
      </w:pPr>
      <w:r>
        <w:rPr>
          <w:rFonts w:ascii="Times New Roman" w:hAnsi="Times New Roman"/>
          <w:b/>
          <w:color w:val="2E74B5"/>
          <w:sz w:val="24"/>
        </w:rPr>
        <w:t>Đoạn flag 5 — Tham chiếu Compas meta-analysis</w:t>
      </w:r>
    </w:p>
    <w:p>
      <w:pPr>
        <w:spacing w:after="120"/>
        <w:jc w:val="both"/>
      </w:pPr>
      <w:r>
        <w:rPr>
          <w:rFonts w:ascii="Times New Roman" w:hAnsi="Times New Roman"/>
          <w:i/>
          <w:sz w:val="24"/>
        </w:rPr>
        <w:t>Cụm trùng: "phân tích tổng hợp của Compas và cộng"</w:t>
      </w:r>
    </w:p>
    <w:p>
      <w:pPr>
        <w:spacing w:after="120"/>
        <w:ind w:left="283"/>
      </w:pPr>
      <w:r>
        <w:rPr>
          <w:rFonts w:ascii="Times New Roman" w:hAnsi="Times New Roman"/>
          <w:b/>
          <w:color w:val="006E2E"/>
          <w:sz w:val="24"/>
        </w:rPr>
        <w:t>✓ Đánh giá: KHÔNG cần sửa. Đây là dạng trích dẫn chuẩn cho một paper. Có cite đầy đủ năm xuất bản và đặc điểm nghiên cứu (212 nghiên cứu, N=80.850).</w:t>
      </w:r>
    </w:p>
    <w:p>
      <w:pPr>
        <w:spacing w:before="320" w:after="120"/>
      </w:pPr>
      <w:r>
        <w:rPr>
          <w:rFonts w:ascii="Times New Roman" w:hAnsi="Times New Roman"/>
          <w:b/>
          <w:color w:val="C00000"/>
          <w:sz w:val="28"/>
        </w:rPr>
        <w:t>2. ĐẠO VĂN MỚI vs PAPER GỐC — Introduction và Discussion</w:t>
      </w:r>
    </w:p>
    <w:p>
      <w:pPr>
        <w:spacing w:after="120"/>
        <w:jc w:val="both"/>
      </w:pPr>
      <w:r>
        <w:rPr>
          <w:rFonts w:ascii="Times New Roman" w:hAnsi="Times New Roman"/>
          <w:i w:val="0"/>
          <w:sz w:val="24"/>
        </w:rPr>
        <w:t>Em rà soát từng cụm trong Introduction và Discussion có khả năng trùng với paper gốc đã trích dẫn. Kết quả:</w:t>
      </w:r>
    </w:p>
    <w:p>
      <w:pPr>
        <w:spacing w:before="200" w:after="80"/>
      </w:pPr>
      <w:r>
        <w:rPr>
          <w:rFonts w:ascii="Times New Roman" w:hAnsi="Times New Roman"/>
          <w:b/>
          <w:color w:val="2E74B5"/>
          <w:sz w:val="24"/>
        </w:rPr>
        <w:t>Cụm rủi ro thấp đã trích dẫn ĐÚNG</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3118"/>
          </w:tcPr>
          <w:p>
            <w:r>
              <w:rPr>
                <w:b/>
                <w:sz w:val="20"/>
              </w:rPr>
              <w:t>Cụm trong Q1</w:t>
            </w:r>
          </w:p>
        </w:tc>
        <w:tc>
          <w:tcPr>
            <w:tcW w:type="dxa" w:w="2551"/>
          </w:tcPr>
          <w:p>
            <w:r>
              <w:rPr>
                <w:b/>
                <w:sz w:val="20"/>
              </w:rPr>
              <w:t>Trích dẫn</w:t>
            </w:r>
          </w:p>
        </w:tc>
        <w:tc>
          <w:tcPr>
            <w:tcW w:type="dxa" w:w="3685"/>
          </w:tcPr>
          <w:p>
            <w:r>
              <w:rPr>
                <w:b/>
                <w:sz w:val="20"/>
              </w:rPr>
              <w:t>Đánh giá</w:t>
            </w:r>
          </w:p>
        </w:tc>
      </w:tr>
      <w:tr>
        <w:tc>
          <w:tcPr>
            <w:tcW w:type="dxa" w:w="3118"/>
          </w:tcPr>
          <w:p>
            <w:r>
              <w:rPr>
                <w:sz w:val="20"/>
              </w:rPr>
              <w:t>convergent-parallel mixed-methods</w:t>
            </w:r>
          </w:p>
        </w:tc>
        <w:tc>
          <w:tcPr>
            <w:tcW w:type="dxa" w:w="2551"/>
          </w:tcPr>
          <w:p>
            <w:r>
              <w:rPr>
                <w:sz w:val="20"/>
              </w:rPr>
              <w:t>Creswell &amp; Plano Clark 2018</w:t>
            </w:r>
          </w:p>
        </w:tc>
        <w:tc>
          <w:tcPr>
            <w:tcW w:type="dxa" w:w="3685"/>
          </w:tcPr>
          <w:p>
            <w:r>
              <w:rPr>
                <w:sz w:val="20"/>
              </w:rPr>
              <w:t>✓ Trích dẫn đúng, term chuẩn</w:t>
            </w:r>
          </w:p>
        </w:tc>
      </w:tr>
      <w:tr>
        <w:tc>
          <w:tcPr>
            <w:tcW w:type="dxa" w:w="3118"/>
          </w:tcPr>
          <w:p>
            <w:r>
              <w:rPr>
                <w:sz w:val="20"/>
              </w:rPr>
              <w:t>joint-display matrix</w:t>
            </w:r>
          </w:p>
        </w:tc>
        <w:tc>
          <w:tcPr>
            <w:tcW w:type="dxa" w:w="2551"/>
          </w:tcPr>
          <w:p>
            <w:r>
              <w:rPr>
                <w:sz w:val="20"/>
              </w:rPr>
              <w:t>Creswell &amp; Plano Clark 2018</w:t>
            </w:r>
          </w:p>
        </w:tc>
        <w:tc>
          <w:tcPr>
            <w:tcW w:type="dxa" w:w="3685"/>
          </w:tcPr>
          <w:p>
            <w:r>
              <w:rPr>
                <w:sz w:val="20"/>
              </w:rPr>
              <w:t>✓ Trích dẫn đúng</w:t>
            </w:r>
          </w:p>
        </w:tc>
      </w:tr>
      <w:tr>
        <w:tc>
          <w:tcPr>
            <w:tcW w:type="dxa" w:w="3118"/>
          </w:tcPr>
          <w:p>
            <w:r>
              <w:rPr>
                <w:sz w:val="20"/>
              </w:rPr>
              <w:t>interdependent self-construal</w:t>
            </w:r>
          </w:p>
        </w:tc>
        <w:tc>
          <w:tcPr>
            <w:tcW w:type="dxa" w:w="2551"/>
          </w:tcPr>
          <w:p>
            <w:r>
              <w:rPr>
                <w:sz w:val="20"/>
              </w:rPr>
              <w:t>Markus &amp; Kitayama 1991</w:t>
            </w:r>
          </w:p>
        </w:tc>
        <w:tc>
          <w:tcPr>
            <w:tcW w:type="dxa" w:w="3685"/>
          </w:tcPr>
          <w:p>
            <w:r>
              <w:rPr>
                <w:sz w:val="20"/>
              </w:rPr>
              <w:t>✓ Trích dẫn đúng</w:t>
            </w:r>
          </w:p>
        </w:tc>
      </w:tr>
      <w:tr>
        <w:tc>
          <w:tcPr>
            <w:tcW w:type="dxa" w:w="3118"/>
          </w:tcPr>
          <w:p>
            <w:r>
              <w:rPr>
                <w:sz w:val="20"/>
              </w:rPr>
              <w:t>separation-individuation tasks</w:t>
            </w:r>
          </w:p>
        </w:tc>
        <w:tc>
          <w:tcPr>
            <w:tcW w:type="dxa" w:w="2551"/>
          </w:tcPr>
          <w:p>
            <w:r>
              <w:rPr>
                <w:sz w:val="20"/>
              </w:rPr>
              <w:t>Blos 1979; Kroger 2007</w:t>
            </w:r>
          </w:p>
        </w:tc>
        <w:tc>
          <w:tcPr>
            <w:tcW w:type="dxa" w:w="3685"/>
          </w:tcPr>
          <w:p>
            <w:r>
              <w:rPr>
                <w:sz w:val="20"/>
              </w:rPr>
              <w:t>✓ Trích dẫn đúng (sau khi sửa từ Allen 2013 sai trong v3)</w:t>
            </w:r>
          </w:p>
        </w:tc>
      </w:tr>
      <w:tr>
        <w:tc>
          <w:tcPr>
            <w:tcW w:type="dxa" w:w="3118"/>
          </w:tcPr>
          <w:p>
            <w:r>
              <w:rPr>
                <w:sz w:val="20"/>
              </w:rPr>
              <w:t>secondary control coping; cognitive reappraisal</w:t>
            </w:r>
          </w:p>
        </w:tc>
        <w:tc>
          <w:tcPr>
            <w:tcW w:type="dxa" w:w="2551"/>
          </w:tcPr>
          <w:p>
            <w:r>
              <w:rPr>
                <w:sz w:val="20"/>
              </w:rPr>
              <w:t>Compas et al. 2017</w:t>
            </w:r>
          </w:p>
        </w:tc>
        <w:tc>
          <w:tcPr>
            <w:tcW w:type="dxa" w:w="3685"/>
          </w:tcPr>
          <w:p>
            <w:r>
              <w:rPr>
                <w:sz w:val="20"/>
              </w:rPr>
              <w:t>✓ Trích dẫn đúng meta-analysis</w:t>
            </w:r>
          </w:p>
        </w:tc>
      </w:tr>
      <w:tr>
        <w:tc>
          <w:tcPr>
            <w:tcW w:type="dxa" w:w="3118"/>
          </w:tcPr>
          <w:p>
            <w:r>
              <w:rPr>
                <w:sz w:val="20"/>
              </w:rPr>
              <w:t>attachment theory; secondary secure base</w:t>
            </w:r>
          </w:p>
        </w:tc>
        <w:tc>
          <w:tcPr>
            <w:tcW w:type="dxa" w:w="2551"/>
          </w:tcPr>
          <w:p>
            <w:r>
              <w:rPr>
                <w:sz w:val="20"/>
              </w:rPr>
              <w:t>Bowlby 1988</w:t>
            </w:r>
          </w:p>
        </w:tc>
        <w:tc>
          <w:tcPr>
            <w:tcW w:type="dxa" w:w="3685"/>
          </w:tcPr>
          <w:p>
            <w:r>
              <w:rPr>
                <w:sz w:val="20"/>
              </w:rPr>
              <w:t>✓ Trích dẫn đúng cha đẻ lý thuyết gắn bó</w:t>
            </w:r>
          </w:p>
        </w:tc>
      </w:tr>
      <w:tr>
        <w:tc>
          <w:tcPr>
            <w:tcW w:type="dxa" w:w="3118"/>
          </w:tcPr>
          <w:p>
            <w:r>
              <w:rPr>
                <w:sz w:val="20"/>
              </w:rPr>
              <w:t>cultural collectivism</w:t>
            </w:r>
          </w:p>
        </w:tc>
        <w:tc>
          <w:tcPr>
            <w:tcW w:type="dxa" w:w="2551"/>
          </w:tcPr>
          <w:p>
            <w:r>
              <w:rPr>
                <w:sz w:val="20"/>
              </w:rPr>
              <w:t>Triandis 1995</w:t>
            </w:r>
          </w:p>
        </w:tc>
        <w:tc>
          <w:tcPr>
            <w:tcW w:type="dxa" w:w="3685"/>
          </w:tcPr>
          <w:p>
            <w:r>
              <w:rPr>
                <w:sz w:val="20"/>
              </w:rPr>
              <w:t>✓ Trích dẫn đúng</w:t>
            </w:r>
          </w:p>
        </w:tc>
      </w:tr>
      <w:tr>
        <w:tc>
          <w:tcPr>
            <w:tcW w:type="dxa" w:w="3118"/>
          </w:tcPr>
          <w:p>
            <w:r>
              <w:rPr>
                <w:sz w:val="20"/>
              </w:rPr>
              <w:t>CFI ≥ 0.90, TLI ≥ 0.90, RMSEA ≤ 0.08, SRMR ≤ 0.08</w:t>
            </w:r>
          </w:p>
        </w:tc>
        <w:tc>
          <w:tcPr>
            <w:tcW w:type="dxa" w:w="2551"/>
          </w:tcPr>
          <w:p>
            <w:r>
              <w:rPr>
                <w:sz w:val="20"/>
              </w:rPr>
              <w:t>Hu &amp; Bentler 1999</w:t>
            </w:r>
          </w:p>
        </w:tc>
        <w:tc>
          <w:tcPr>
            <w:tcW w:type="dxa" w:w="3685"/>
          </w:tcPr>
          <w:p>
            <w:r>
              <w:rPr>
                <w:sz w:val="20"/>
              </w:rPr>
              <w:t>✓ Ngưỡng chuẩn quốc tế, cite đúng</w:t>
            </w:r>
          </w:p>
        </w:tc>
      </w:tr>
      <w:tr>
        <w:tc>
          <w:tcPr>
            <w:tcW w:type="dxa" w:w="3118"/>
          </w:tcPr>
          <w:p>
            <w:r>
              <w:rPr>
                <w:sz w:val="20"/>
              </w:rPr>
              <w:t>ΔCFI ≤ 0.01 invariance criterion</w:t>
            </w:r>
          </w:p>
        </w:tc>
        <w:tc>
          <w:tcPr>
            <w:tcW w:type="dxa" w:w="2551"/>
          </w:tcPr>
          <w:p>
            <w:r>
              <w:rPr>
                <w:sz w:val="20"/>
              </w:rPr>
              <w:t>Cheung &amp; Rensvold 2002</w:t>
            </w:r>
          </w:p>
        </w:tc>
        <w:tc>
          <w:tcPr>
            <w:tcW w:type="dxa" w:w="3685"/>
          </w:tcPr>
          <w:p>
            <w:r>
              <w:rPr>
                <w:sz w:val="20"/>
              </w:rPr>
              <w:t>✓ Ngưỡng chuẩn, cite đúng</w:t>
            </w:r>
          </w:p>
        </w:tc>
      </w:tr>
      <w:tr>
        <w:tc>
          <w:tcPr>
            <w:tcW w:type="dxa" w:w="3118"/>
          </w:tcPr>
          <w:p>
            <w:r>
              <w:rPr>
                <w:sz w:val="20"/>
              </w:rPr>
              <w:t>thematic analysis</w:t>
            </w:r>
          </w:p>
        </w:tc>
        <w:tc>
          <w:tcPr>
            <w:tcW w:type="dxa" w:w="2551"/>
          </w:tcPr>
          <w:p>
            <w:r>
              <w:rPr>
                <w:sz w:val="20"/>
              </w:rPr>
              <w:t>Braun &amp; Clarke 2006</w:t>
            </w:r>
          </w:p>
        </w:tc>
        <w:tc>
          <w:tcPr>
            <w:tcW w:type="dxa" w:w="3685"/>
          </w:tcPr>
          <w:p>
            <w:r>
              <w:rPr>
                <w:sz w:val="20"/>
              </w:rPr>
              <w:t>✓ Trích dẫn đúng</w:t>
            </w:r>
          </w:p>
        </w:tc>
      </w:tr>
    </w:tbl>
    <w:p>
      <w:pPr>
        <w:spacing w:before="320" w:after="120"/>
      </w:pPr>
      <w:r>
        <w:rPr>
          <w:rFonts w:ascii="Times New Roman" w:hAnsi="Times New Roman"/>
          <w:b/>
          <w:color w:val="C00000"/>
          <w:sz w:val="28"/>
        </w:rPr>
        <w:t>3. ĐẠO VĂN vs VALIDATION PAPERS (mô tả thang đo)</w:t>
      </w:r>
    </w:p>
    <w:p>
      <w:pPr>
        <w:spacing w:after="120"/>
        <w:jc w:val="both"/>
      </w:pPr>
      <w:r>
        <w:rPr>
          <w:rFonts w:ascii="Times New Roman" w:hAnsi="Times New Roman"/>
          <w:i w:val="0"/>
          <w:sz w:val="24"/>
        </w:rPr>
        <w:t>Em rà soát từng mô tả thang đo trong mục 2.2 Measures so với cách viết chuẩn trong paper validation gốc:</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551"/>
          </w:tcPr>
          <w:p>
            <w:r>
              <w:rPr>
                <w:b/>
                <w:sz w:val="20"/>
              </w:rPr>
              <w:t>Thang đo</w:t>
            </w:r>
          </w:p>
        </w:tc>
        <w:tc>
          <w:tcPr>
            <w:tcW w:type="dxa" w:w="3969"/>
          </w:tcPr>
          <w:p>
            <w:r>
              <w:rPr>
                <w:b/>
                <w:sz w:val="20"/>
              </w:rPr>
              <w:t>Cụm em viết trong Q1</w:t>
            </w:r>
          </w:p>
        </w:tc>
        <w:tc>
          <w:tcPr>
            <w:tcW w:type="dxa" w:w="2835"/>
          </w:tcPr>
          <w:p>
            <w:r>
              <w:rPr>
                <w:b/>
                <w:sz w:val="20"/>
              </w:rPr>
              <w:t>Đánh giá rủi ro</w:t>
            </w:r>
          </w:p>
        </w:tc>
      </w:tr>
      <w:tr>
        <w:tc>
          <w:tcPr>
            <w:tcW w:type="dxa" w:w="2551"/>
          </w:tcPr>
          <w:p>
            <w:r>
              <w:rPr>
                <w:sz w:val="20"/>
              </w:rPr>
              <w:t>RCADS (Chorpita 2000)</w:t>
            </w:r>
          </w:p>
        </w:tc>
        <w:tc>
          <w:tcPr>
            <w:tcW w:type="dxa" w:w="3969"/>
          </w:tcPr>
          <w:p>
            <w:r>
              <w:rPr>
                <w:sz w:val="20"/>
              </w:rPr>
              <w:t>"developmentally calibrated, DSM-5-aligned instrument"</w:t>
            </w:r>
          </w:p>
        </w:tc>
        <w:tc>
          <w:tcPr>
            <w:tcW w:type="dxa" w:w="2835"/>
          </w:tcPr>
          <w:p>
            <w:r>
              <w:rPr>
                <w:sz w:val="20"/>
              </w:rPr>
              <w:t>✓ THẤP — em phrasing riêng, không phải nguyên văn Chorpita</w:t>
            </w:r>
          </w:p>
        </w:tc>
      </w:tr>
      <w:tr>
        <w:tc>
          <w:tcPr>
            <w:tcW w:type="dxa" w:w="2551"/>
          </w:tcPr>
          <w:p>
            <w:r>
              <w:rPr>
                <w:sz w:val="20"/>
              </w:rPr>
              <w:t>RCADS subscales</w:t>
            </w:r>
          </w:p>
        </w:tc>
        <w:tc>
          <w:tcPr>
            <w:tcW w:type="dxa" w:w="3969"/>
          </w:tcPr>
          <w:p>
            <w:r>
              <w:rPr>
                <w:sz w:val="20"/>
              </w:rPr>
              <w:t>"GAD (7 items), SAD (4 items), SocAD (4 items), 4-point Likert"</w:t>
            </w:r>
          </w:p>
        </w:tc>
        <w:tc>
          <w:tcPr>
            <w:tcW w:type="dxa" w:w="2835"/>
          </w:tcPr>
          <w:p>
            <w:r>
              <w:rPr>
                <w:sz w:val="20"/>
              </w:rPr>
              <w:t>✓ THẤP — facts không thể paraphrase, cite Chorpita</w:t>
            </w:r>
          </w:p>
        </w:tc>
      </w:tr>
      <w:tr>
        <w:tc>
          <w:tcPr>
            <w:tcW w:type="dxa" w:w="2551"/>
          </w:tcPr>
          <w:p>
            <w:r>
              <w:rPr>
                <w:sz w:val="20"/>
              </w:rPr>
              <w:t>ESSA (Sun et al. 2011)</w:t>
            </w:r>
          </w:p>
        </w:tc>
        <w:tc>
          <w:tcPr>
            <w:tcW w:type="dxa" w:w="3969"/>
          </w:tcPr>
          <w:p>
            <w:r>
              <w:rPr>
                <w:sz w:val="20"/>
              </w:rPr>
              <w:t>"Educational Stress Scale for Adolescents — ESSA, 4 items"</w:t>
            </w:r>
          </w:p>
        </w:tc>
        <w:tc>
          <w:tcPr>
            <w:tcW w:type="dxa" w:w="2835"/>
          </w:tcPr>
          <w:p>
            <w:r>
              <w:rPr>
                <w:sz w:val="20"/>
              </w:rPr>
              <w:t>✓ THẤP — tên đầy đủ + số items, fact thuần</w:t>
            </w:r>
          </w:p>
        </w:tc>
      </w:tr>
      <w:tr>
        <w:tc>
          <w:tcPr>
            <w:tcW w:type="dxa" w:w="2551"/>
          </w:tcPr>
          <w:p>
            <w:r>
              <w:rPr>
                <w:sz w:val="20"/>
              </w:rPr>
              <w:t>SAS-SV (Kwon et al. 2013)</w:t>
            </w:r>
          </w:p>
        </w:tc>
        <w:tc>
          <w:tcPr>
            <w:tcW w:type="dxa" w:w="3969"/>
          </w:tcPr>
          <w:p>
            <w:r>
              <w:rPr>
                <w:sz w:val="20"/>
              </w:rPr>
              <w:t>"Smartphone Addiction Scale-Short Version — SAS-SV, 5 items"</w:t>
            </w:r>
          </w:p>
        </w:tc>
        <w:tc>
          <w:tcPr>
            <w:tcW w:type="dxa" w:w="2835"/>
          </w:tcPr>
          <w:p>
            <w:r>
              <w:rPr>
                <w:sz w:val="20"/>
              </w:rPr>
              <w:t>✓ THẤP — fact thuần</w:t>
            </w:r>
          </w:p>
        </w:tc>
      </w:tr>
      <w:tr>
        <w:tc>
          <w:tcPr>
            <w:tcW w:type="dxa" w:w="2551"/>
          </w:tcPr>
          <w:p>
            <w:r>
              <w:rPr>
                <w:sz w:val="20"/>
              </w:rPr>
              <w:t>OBVQ (Olweus 1996)</w:t>
            </w:r>
          </w:p>
        </w:tc>
        <w:tc>
          <w:tcPr>
            <w:tcW w:type="dxa" w:w="3969"/>
          </w:tcPr>
          <w:p>
            <w:r>
              <w:rPr>
                <w:sz w:val="20"/>
              </w:rPr>
              <w:t>"Olweus Bully/Victim Questionnaire — OBVQ, 8 items capturing physical and verbal victimisation"</w:t>
            </w:r>
          </w:p>
        </w:tc>
        <w:tc>
          <w:tcPr>
            <w:tcW w:type="dxa" w:w="2835"/>
          </w:tcPr>
          <w:p>
            <w:r>
              <w:rPr>
                <w:sz w:val="20"/>
              </w:rPr>
              <w:t>✓ THẤP — em phrasing "capturing physical and verbal victimisation" không phải nguyên văn Olweus</w:t>
            </w:r>
          </w:p>
        </w:tc>
      </w:tr>
      <w:tr>
        <w:tc>
          <w:tcPr>
            <w:tcW w:type="dxa" w:w="2551"/>
          </w:tcPr>
          <w:p>
            <w:r>
              <w:rPr>
                <w:sz w:val="20"/>
              </w:rPr>
              <w:t>PSSM (Goodenow 1993)</w:t>
            </w:r>
          </w:p>
        </w:tc>
        <w:tc>
          <w:tcPr>
            <w:tcW w:type="dxa" w:w="3969"/>
          </w:tcPr>
          <w:p>
            <w:r>
              <w:rPr>
                <w:sz w:val="20"/>
              </w:rPr>
              <w:t>"Psychological Sense of School Membership — PSSM, 7 items"</w:t>
            </w:r>
          </w:p>
        </w:tc>
        <w:tc>
          <w:tcPr>
            <w:tcW w:type="dxa" w:w="2835"/>
          </w:tcPr>
          <w:p>
            <w:r>
              <w:rPr>
                <w:sz w:val="20"/>
              </w:rPr>
              <w:t>✓ THẤP — fact thuần</w:t>
            </w:r>
          </w:p>
        </w:tc>
      </w:tr>
      <w:tr>
        <w:tc>
          <w:tcPr>
            <w:tcW w:type="dxa" w:w="2551"/>
          </w:tcPr>
          <w:p>
            <w:r>
              <w:rPr>
                <w:sz w:val="20"/>
              </w:rPr>
              <w:t>MSPSS (Zimet et al. 1988)</w:t>
            </w:r>
          </w:p>
        </w:tc>
        <w:tc>
          <w:tcPr>
            <w:tcW w:type="dxa" w:w="3969"/>
          </w:tcPr>
          <w:p>
            <w:r>
              <w:rPr>
                <w:sz w:val="20"/>
              </w:rPr>
              <w:t>"Multidimensional Scale of Perceived Social Support — MSPSS, 8 items split into parental and peer subscales (4 items each)"</w:t>
            </w:r>
          </w:p>
        </w:tc>
        <w:tc>
          <w:tcPr>
            <w:tcW w:type="dxa" w:w="2835"/>
          </w:tcPr>
          <w:p>
            <w:r>
              <w:rPr>
                <w:sz w:val="20"/>
              </w:rPr>
              <w:t>✓ THẤP — fact thuần</w:t>
            </w:r>
          </w:p>
        </w:tc>
      </w:tr>
      <w:tr>
        <w:tc>
          <w:tcPr>
            <w:tcW w:type="dxa" w:w="2551"/>
          </w:tcPr>
          <w:p>
            <w:r>
              <w:rPr>
                <w:sz w:val="20"/>
              </w:rPr>
              <w:t>RSES (Rosenberg 1965)</w:t>
            </w:r>
          </w:p>
        </w:tc>
        <w:tc>
          <w:tcPr>
            <w:tcW w:type="dxa" w:w="3969"/>
          </w:tcPr>
          <w:p>
            <w:r>
              <w:rPr>
                <w:sz w:val="20"/>
              </w:rPr>
              <w:t>"Rosenberg Self-Esteem Scale — RSES, 5 items"</w:t>
            </w:r>
          </w:p>
        </w:tc>
        <w:tc>
          <w:tcPr>
            <w:tcW w:type="dxa" w:w="2835"/>
          </w:tcPr>
          <w:p>
            <w:r>
              <w:rPr>
                <w:sz w:val="20"/>
              </w:rPr>
              <w:t>✓ THẤP — fact thuần</w:t>
            </w:r>
          </w:p>
        </w:tc>
      </w:tr>
    </w:tbl>
    <w:p>
      <w:pPr>
        <w:spacing w:after="120"/>
        <w:ind w:left="283"/>
      </w:pPr>
      <w:r>
        <w:rPr>
          <w:rFonts w:ascii="Times New Roman" w:hAnsi="Times New Roman"/>
          <w:b/>
          <w:color w:val="006E2E"/>
          <w:sz w:val="24"/>
        </w:rPr>
        <w:t>✓ Tất cả 8 mô tả thang đo có rủi ro THẤP. Em đã viết theo phong cách riêng (không copy-paste từ Methods của paper gốc), giữ lại các fact bắt buộc (tên thang, số items, định dạng câu trả lời). Em không có truy cập đến toàn văn từng paper validation gốc để cross-check 100%, nhưng theo phong cách viết hiện tại, rủi ro Turnitin flag là thấp.</w:t>
      </w:r>
    </w:p>
    <w:p>
      <w:pPr>
        <w:spacing w:before="320" w:after="120"/>
      </w:pPr>
      <w:r>
        <w:rPr>
          <w:rFonts w:ascii="Times New Roman" w:hAnsi="Times New Roman"/>
          <w:b/>
          <w:color w:val="C00000"/>
          <w:sz w:val="28"/>
        </w:rPr>
        <w:t>4. BA CHỖ MEDIUM RISK CẦN THẦY + NCS XEM XÉT</w:t>
      </w:r>
    </w:p>
    <w:p>
      <w:pPr>
        <w:spacing w:before="200" w:after="80"/>
      </w:pPr>
      <w:r>
        <w:rPr>
          <w:rFonts w:ascii="Times New Roman" w:hAnsi="Times New Roman"/>
          <w:b/>
          <w:color w:val="2E74B5"/>
          <w:sz w:val="24"/>
        </w:rPr>
        <w:t>Chỗ 1 — Section 4.4 Discussion: "co-rumination hypothesis"</w:t>
      </w:r>
    </w:p>
    <w:p>
      <w:pPr>
        <w:spacing w:after="120"/>
        <w:jc w:val="both"/>
      </w:pPr>
      <w:r>
        <w:rPr>
          <w:rFonts w:ascii="Times New Roman" w:hAnsi="Times New Roman"/>
          <w:i/>
          <w:sz w:val="24"/>
        </w:rPr>
        <w:t>Câu hiện tại: "the co-rumination hypothesis suggests that frequent peer disclosure can recursively amplify worry rather than dissipate it, especially when academic-competition norms are operative."</w:t>
      </w:r>
    </w:p>
    <w:p>
      <w:pPr>
        <w:spacing w:after="120"/>
        <w:jc w:val="both"/>
      </w:pPr>
      <w:r>
        <w:rPr>
          <w:rFonts w:ascii="Times New Roman" w:hAnsi="Times New Roman"/>
          <w:i w:val="0"/>
          <w:sz w:val="24"/>
        </w:rPr>
        <w:t>Vấn đề: Em dùng cụm "co-rumination hypothesis" mà không trích dẫn tác giả gốc. Đây là một khái niệm có người sở hữu trí tuệ — cụ thể là Rose (2002).</w:t>
      </w:r>
    </w:p>
    <w:p>
      <w:pPr>
        <w:spacing w:after="120"/>
        <w:jc w:val="both"/>
      </w:pPr>
      <w:r>
        <w:rPr>
          <w:rFonts w:ascii="Times New Roman" w:hAnsi="Times New Roman"/>
          <w:i w:val="0"/>
          <w:sz w:val="24"/>
        </w:rPr>
        <w:t>Đề xuất sửa:</w:t>
      </w:r>
    </w:p>
    <w:p>
      <w:pPr>
        <w:spacing w:after="120"/>
        <w:ind w:firstLine="425"/>
        <w:jc w:val="both"/>
      </w:pPr>
      <w:r>
        <w:rPr>
          <w:rFonts w:ascii="Times New Roman" w:hAnsi="Times New Roman"/>
          <w:i/>
          <w:sz w:val="24"/>
        </w:rPr>
        <w:t>"the co-rumination hypothesis [Rose 2002] suggests that frequent peer disclosure of personal problems can recursively amplify worry rather than dissipate it..."</w:t>
      </w:r>
    </w:p>
    <w:p>
      <w:pPr>
        <w:spacing w:after="120"/>
        <w:jc w:val="both"/>
      </w:pPr>
      <w:r>
        <w:rPr>
          <w:rFonts w:ascii="Times New Roman" w:hAnsi="Times New Roman"/>
          <w:i w:val="0"/>
          <w:sz w:val="24"/>
        </w:rPr>
        <w:t>Thêm vào References:</w:t>
      </w:r>
    </w:p>
    <w:p>
      <w:pPr>
        <w:spacing w:after="120"/>
        <w:ind w:firstLine="425"/>
        <w:jc w:val="both"/>
      </w:pPr>
      <w:r>
        <w:rPr>
          <w:rFonts w:ascii="Times New Roman" w:hAnsi="Times New Roman"/>
          <w:i/>
          <w:sz w:val="24"/>
        </w:rPr>
        <w:t>Rose, A. J. (2002). Co-rumination in the friendships of girls and boys. Child Development, 73(6), 1830–1843.</w:t>
      </w:r>
    </w:p>
    <w:p>
      <w:pPr>
        <w:spacing w:before="200" w:after="80"/>
      </w:pPr>
      <w:r>
        <w:rPr>
          <w:rFonts w:ascii="Times New Roman" w:hAnsi="Times New Roman"/>
          <w:b/>
          <w:color w:val="2E74B5"/>
          <w:sz w:val="24"/>
        </w:rPr>
        <w:t>Chỗ 2 — Section 1.1 Introduction: cụm "Confucian academic culture"</w:t>
      </w:r>
    </w:p>
    <w:p>
      <w:pPr>
        <w:spacing w:after="120"/>
        <w:jc w:val="both"/>
      </w:pPr>
      <w:r>
        <w:rPr>
          <w:rFonts w:ascii="Times New Roman" w:hAnsi="Times New Roman"/>
          <w:i/>
          <w:sz w:val="24"/>
        </w:rPr>
        <w:t>Câu hiện tại: "a Confucian academic culture frames high-stakes examinations as the principal gateway to social mobility, intensifying chronic academic stress."</w:t>
      </w:r>
    </w:p>
    <w:p>
      <w:pPr>
        <w:spacing w:after="120"/>
        <w:jc w:val="both"/>
      </w:pPr>
      <w:r>
        <w:rPr>
          <w:rFonts w:ascii="Times New Roman" w:hAnsi="Times New Roman"/>
          <w:i w:val="0"/>
          <w:sz w:val="24"/>
        </w:rPr>
        <w:t>Vấn đề: Cụm "Confucian academic culture" có nguồn gốc lý thuyết từ các paper về văn hóa Đông Á. Hiện em không trích dẫn nguồn nào. Một paper điển hình là Salili &amp; Hau (1994) hoặc Stankov (2010) về cultural influences on Confucian academic motivation.</w:t>
      </w:r>
    </w:p>
    <w:p>
      <w:pPr>
        <w:spacing w:after="120"/>
        <w:jc w:val="both"/>
      </w:pPr>
      <w:r>
        <w:rPr>
          <w:rFonts w:ascii="Times New Roman" w:hAnsi="Times New Roman"/>
          <w:i w:val="0"/>
          <w:sz w:val="24"/>
        </w:rPr>
        <w:t>Đề xuất sửa:</w:t>
      </w:r>
    </w:p>
    <w:p>
      <w:pPr>
        <w:spacing w:after="120"/>
        <w:ind w:firstLine="425"/>
        <w:jc w:val="both"/>
      </w:pPr>
      <w:r>
        <w:rPr>
          <w:rFonts w:ascii="Times New Roman" w:hAnsi="Times New Roman"/>
          <w:i/>
          <w:sz w:val="24"/>
        </w:rPr>
        <w:t>"a Confucian academic culture [Stankov 2010] frames high-stakes examinations as the principal gateway to social mobility..."</w:t>
      </w:r>
    </w:p>
    <w:p>
      <w:pPr>
        <w:spacing w:after="120"/>
        <w:jc w:val="both"/>
      </w:pPr>
      <w:r>
        <w:rPr>
          <w:rFonts w:ascii="Times New Roman" w:hAnsi="Times New Roman"/>
          <w:i w:val="0"/>
          <w:sz w:val="24"/>
        </w:rPr>
        <w:t>Hoặc nếu thầy + NCS có tài liệu tiếng Việt hợp lý hơn (ví dụ bài tổng quan của Nguyễn Khắc Viện về Nho giáo và giáo dục), có thể dùng thay thế.</w:t>
      </w:r>
    </w:p>
    <w:p>
      <w:pPr>
        <w:spacing w:before="200" w:after="80"/>
      </w:pPr>
      <w:r>
        <w:rPr>
          <w:rFonts w:ascii="Times New Roman" w:hAnsi="Times New Roman"/>
          <w:b/>
          <w:color w:val="2E74B5"/>
          <w:sz w:val="24"/>
        </w:rPr>
        <w:t>Chỗ 3 — Section 4.4 Discussion: "nhẫn" (endurance)</w:t>
      </w:r>
    </w:p>
    <w:p>
      <w:pPr>
        <w:spacing w:after="120"/>
        <w:jc w:val="both"/>
      </w:pPr>
      <w:r>
        <w:rPr>
          <w:rFonts w:ascii="Times New Roman" w:hAnsi="Times New Roman"/>
          <w:i/>
          <w:sz w:val="24"/>
        </w:rPr>
        <w:t>Câu hiện tại: "in a Confucian-influenced collectivist context, peer disclosure norms may emphasise emotional regulation (\"nhẫn\", endurance) over expressive sharing"</w:t>
      </w:r>
    </w:p>
    <w:p>
      <w:pPr>
        <w:spacing w:after="120"/>
        <w:jc w:val="both"/>
      </w:pPr>
      <w:r>
        <w:rPr>
          <w:rFonts w:ascii="Times New Roman" w:hAnsi="Times New Roman"/>
          <w:i w:val="0"/>
          <w:sz w:val="24"/>
        </w:rPr>
        <w:t>Vấn đề: Em đưa khái niệm "nhẫn" như một construct văn hóa không có trích dẫn. Đây là một thuật ngữ Việt Nam có nguồn gốc Phật giáo + Khổng giáo, cần có nguồn học thuật để hỗ trợ.</w:t>
      </w:r>
    </w:p>
    <w:p>
      <w:pPr>
        <w:spacing w:after="120"/>
        <w:jc w:val="both"/>
      </w:pPr>
      <w:r>
        <w:rPr>
          <w:rFonts w:ascii="Times New Roman" w:hAnsi="Times New Roman"/>
          <w:i w:val="0"/>
          <w:sz w:val="24"/>
        </w:rPr>
        <w:t>Đề xuất sửa:</w:t>
      </w:r>
    </w:p>
    <w:p>
      <w:pPr>
        <w:spacing w:after="120"/>
        <w:ind w:firstLine="425"/>
        <w:jc w:val="both"/>
      </w:pPr>
      <w:r>
        <w:rPr>
          <w:rFonts w:ascii="Times New Roman" w:hAnsi="Times New Roman"/>
          <w:i/>
          <w:sz w:val="24"/>
        </w:rPr>
        <w:t>"...peer disclosure norms may emphasise emotional restraint — conceptualised in Vietnamese culture as \"nhẫn\" (endurance) [Vu Thi Hoang Lan et al. 2020 — hoặc nguồn tương đương về cultural psychology Việt Nam] — over expressive sharing"</w:t>
      </w:r>
    </w:p>
    <w:p>
      <w:pPr>
        <w:spacing w:after="120"/>
        <w:jc w:val="both"/>
      </w:pPr>
      <w:r>
        <w:rPr>
          <w:rFonts w:ascii="Times New Roman" w:hAnsi="Times New Roman"/>
          <w:i w:val="0"/>
          <w:sz w:val="24"/>
        </w:rPr>
        <w:t>Nếu nhóm chưa tìm được nguồn học thuật cụ thể về "nhẫn" trong tâm lý học Việt Nam, em đề xuất diễn đạt lại tinh tế hơn: "...peer disclosure norms in Vietnamese collectivist context may emphasise emotional restraint over expressive sharing"</w:t>
      </w:r>
    </w:p>
    <w:p>
      <w:pPr>
        <w:spacing w:before="320" w:after="120"/>
      </w:pPr>
      <w:r>
        <w:rPr>
          <w:rFonts w:ascii="Times New Roman" w:hAnsi="Times New Roman"/>
          <w:b/>
          <w:color w:val="C00000"/>
          <w:sz w:val="28"/>
        </w:rPr>
        <w:t>5. KẾT LUẬN</w:t>
      </w:r>
    </w:p>
    <w:p>
      <w:pPr>
        <w:spacing w:after="120"/>
        <w:ind w:left="283"/>
      </w:pPr>
      <w:r>
        <w:rPr>
          <w:rFonts w:ascii="Times New Roman" w:hAnsi="Times New Roman"/>
          <w:b/>
          <w:color w:val="006E2E"/>
          <w:sz w:val="24"/>
        </w:rPr>
        <w:t>✓ Bài Q1 v4 có MỨC RỦI RO ĐẠO VĂN THẤP TỔNG THỂ. Em đã chủ động viết theo phong cách riêng khi soạn draft, hầu hết các fact và term chuẩn quốc tế đều có trích dẫn đầy đủ.</w:t>
      </w:r>
    </w:p>
    <w:p>
      <w:pPr>
        <w:spacing w:after="120"/>
        <w:jc w:val="both"/>
      </w:pPr>
      <w:r>
        <w:rPr>
          <w:rFonts w:ascii="Times New Roman" w:hAnsi="Times New Roman"/>
          <w:i w:val="0"/>
          <w:sz w:val="24"/>
        </w:rPr>
        <w:t>Để gửi BMC Psychiatry an toàn 100%, em đề xuất NCS bổ sung 3 trích dẫn ở mục 4 trước khi submit:</w:t>
      </w:r>
    </w:p>
    <w:p>
      <w:pPr>
        <w:spacing w:after="60"/>
        <w:ind w:left="283"/>
      </w:pPr>
      <w:r>
        <w:rPr>
          <w:rFonts w:ascii="Times New Roman" w:hAnsi="Times New Roman"/>
          <w:sz w:val="24"/>
        </w:rPr>
        <w:t>▸ Rose, A. J. (2002). Co-rumination in the friendships of girls and boys. Child Development, 73(6), 1830–1843.</w:t>
      </w:r>
    </w:p>
    <w:p>
      <w:pPr>
        <w:spacing w:after="60"/>
        <w:ind w:left="283"/>
      </w:pPr>
      <w:r>
        <w:rPr>
          <w:rFonts w:ascii="Times New Roman" w:hAnsi="Times New Roman"/>
          <w:sz w:val="24"/>
        </w:rPr>
        <w:t>▸ Stankov, L. (2010). Unforgiving Confucian culture: A breeding ground for high academic achievement, test anxiety and self-doubt? Learning and Individual Differences, 20(6), 555-563. (hoặc nguồn tương đương)</w:t>
      </w:r>
    </w:p>
    <w:p>
      <w:pPr>
        <w:spacing w:after="60"/>
        <w:ind w:left="283"/>
      </w:pPr>
      <w:r>
        <w:rPr>
          <w:rFonts w:ascii="Times New Roman" w:hAnsi="Times New Roman"/>
          <w:sz w:val="24"/>
        </w:rPr>
        <w:t>▸ Nguồn về khái niệm "nhẫn" trong văn hóa Việt — em đề xuất NCS hoặc thầy có nguồn tiếng Việt phù hợp hơn em đang biết.</w:t>
      </w:r>
    </w:p>
    <w:p>
      <w:pPr>
        <w:spacing w:before="320" w:after="120"/>
      </w:pPr>
      <w:r>
        <w:rPr>
          <w:rFonts w:ascii="Times New Roman" w:hAnsi="Times New Roman"/>
          <w:b/>
          <w:color w:val="C00000"/>
          <w:sz w:val="28"/>
        </w:rPr>
        <w:t>THAM KHẢO ĐÃ ĐỀ XUẤT BỔ SUNG</w:t>
      </w:r>
    </w:p>
    <w:p>
      <w:pPr>
        <w:spacing w:after="120"/>
        <w:ind w:left="425" w:hanging="425"/>
      </w:pPr>
      <w:r>
        <w:rPr>
          <w:rFonts w:ascii="Times New Roman" w:hAnsi="Times New Roman"/>
          <w:sz w:val="22"/>
        </w:rPr>
        <w:t>Rose, A. J. (2002). Co-rumination in the friendships of girls and boys. Child Development, 73(6), 1830–1843. DOI: 10.1111/1467-8624.00509.</w:t>
      </w:r>
    </w:p>
    <w:p>
      <w:pPr>
        <w:spacing w:after="120"/>
        <w:ind w:left="425" w:hanging="425"/>
      </w:pPr>
      <w:r>
        <w:rPr>
          <w:rFonts w:ascii="Times New Roman" w:hAnsi="Times New Roman"/>
          <w:sz w:val="22"/>
        </w:rPr>
        <w:t>Stankov, L. (2010). Unforgiving Confucian culture: A breeding ground for high academic achievement, test anxiety and self-doubt? Learning and Individual Differences, 20(6), 555-563. DOI: 10.1016/j.lindif.2010.05.003.</w:t>
      </w:r>
    </w:p>
    <w:p>
      <w:pPr>
        <w:spacing w:after="120"/>
        <w:ind w:left="425" w:hanging="425"/>
      </w:pPr>
      <w:r>
        <w:rPr>
          <w:rFonts w:ascii="Times New Roman" w:hAnsi="Times New Roman"/>
          <w:sz w:val="22"/>
        </w:rPr>
        <w:t>Salili, F., &amp; Hau, K.-T. (1994). The Effect of Teachers' Evaluative Feedback on Chinese Students' Perception of Ability: A Cultural and Situational Analysis. Educational Studies, 20(2), 223-236.</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