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Q1 — BMC Psychiatry (v1, bilingual)</w:t>
      </w:r>
    </w:p>
    <w:p>
      <w:pPr>
        <w:spacing w:before="400" w:after="120"/>
        <w:jc w:val="center"/>
      </w:pPr>
      <w:r>
        <w:rPr>
          <w:rFonts w:ascii="Times New Roman" w:hAnsi="Times New Roman"/>
          <w:b/>
          <w:color w:val="1F4E79"/>
          <w:sz w:val="30"/>
        </w:rPr>
        <w:t>Integrated risk-protective structural equation modelling of anxiety disorder subtypes among Vietnamese lower secondary school students: A mixed-methods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hỗn hợp</w:t>
      </w:r>
    </w:p>
    <w:p>
      <w:pPr>
        <w:spacing w:after="80"/>
        <w:jc w:val="center"/>
      </w:pPr>
      <w:r>
        <w:rPr>
          <w:rFonts w:ascii="Times New Roman" w:hAnsi="Times New Roman"/>
          <w:b/>
          <w:sz w:val="24"/>
        </w:rPr>
        <w:t>Hang Thi Cong¹*, Nguyen Minh Duc², Duc Minh Dao¹†</w:t>
      </w:r>
    </w:p>
    <w:p>
      <w:pPr>
        <w:spacing w:after="240"/>
        <w:jc w:val="center"/>
      </w:pPr>
      <w:r>
        <w:rPr>
          <w:rFonts w:ascii="Times New Roman" w:hAnsi="Times New Roman"/>
          <w:i/>
          <w:sz w:val="20"/>
        </w:rPr>
        <w:t>¹ Hanoi National University of Education, Vietnam | ² [Affiliation TBD] | * Corresponding author | † Senior author</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represent a leading mental health concern among adolescents globally, with the Asian region showing the largest age-standardised increase between 1990 and 2021. Despite robust evidence of risk and protective factors operating in isolation, no Vietnamese study has tested an integrated risk-protective model across DSM-5 anxiety disorder subtypes (generalised anxiety disorder, GAD; separation anxiety disorder, SAD; social anxiety disorder, SocAD) using structural equation modelling (SEM). The present study fills this gap and probes gender invariance of these subtype-specific pathways.</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chuẩn hóa theo tuổi cao nhất trong giai đoạn 1990–2021. Mặc dù có bằng chứng vững chắc về tác động đơn lẻ của các yếu tố nguy cơ và bảo vệ, vẫn chưa có nghiên cứu nào tại Việt Nam kiểm định mô hình tích hợp nguy cơ – bảo vệ trên các phân loại rối loạn lo âu theo DSM-5 (lo âu tổng quát – GAD, lo âu chia ly – SAD, lo âu xã hội – SocAD) bằng mô hình phương trình cấu trúc (SEM). Nghiên cứu này lấp khoảng trống đó và kiểm tra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A convergent-parallel mixed-methods cross-sectional design was conducted with 1,352 lower secondary school students (614 boys, 738 girls; aged 11–14 years) from two purposively selected schools in Hanoi, Vietnam. Eight validated scales measured three risk factors — academic pressure (ESSA), smartphone addiction (SAS-SV), school bullying (OBVQ) — and four protective factors — school engagement (PSSM), parental support (MSPSS-Parents), peer support (MSPSS-Peers) and self-esteem (RSES). DSM-5 anxiety subtypes were assessed with the Revised Children's Anxiety and Depression Scale (RCADS; GAD, SAD, SocAD subscales). Subtype-specific SEM with each of the seven predictors, an integrated risk-protective composite model, and multi-group invariance testing by gender were performed in AMOS 31.0. Semi-structured qualitative interviews complemented the quantitative analyses via a joint-display integration matrix.</w:t>
      </w:r>
    </w:p>
    <w:p>
      <w:pPr>
        <w:spacing w:after="160"/>
        <w:ind w:firstLine="283"/>
        <w:jc w:val="both"/>
      </w:pPr>
      <w:r>
        <w:rPr>
          <w:rFonts w:ascii="Times New Roman" w:hAnsi="Times New Roman"/>
          <w:i/>
          <w:color w:val="404040"/>
          <w:sz w:val="22"/>
        </w:rPr>
        <w:t>Nghiên cứu sử dụng thiết kế hỗn hợp song song hội tụ, cắt ngang, với 1.352 học sinh trung học cơ sở (614 nam, 738 nữ; 11–14 tuổi) tại hai trường ở Hà Nội được chọn có chủ đích. Tám thang đo đã kiểm định đo lường ba yếu tố nguy cơ — áp lực học tập (ESSA), nghiện điện thoại (SAS-SV),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SocAD). Các mô hình SEM theo từng phân loại với từng yếu tố trong số bảy yếu tố dự báo, mô hình tích hợp nguy cơ – bảo vệ, và kiểm định bất biến đa nhóm theo giới được thực hiện trong AMOS 31.0. Phỏng vấn bán cấu trúc bổ sung phân tích định lượng qua ma trận tích hợp joint-display.</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 revealed three key differential pathways. First, school bullying showed its strongest association with SAD (β = 0.376, p &lt; 0.001) rather than GAD (β = 0.215) or SocAD (β = 0.253), a counterintuitive pattern not previously reported in the Vietnamese literature. Second, self-esteem emerged as the strongest single protective influence on GAD (β = −0.455, p &lt; 0.001), comparable in magnitude to the dominant academic-pressure risk effect on GAD (β = 0.510). Third, peer support showed no significant association with any anxiety subtype (β = −0.015 to −0.079), challenging the assumed universal protective role of peer relationships in adolescence. Integrated risk-protective modelling with composite latent factors yielded R² = 0.598 for total anxiety (YTNC composite β = 0.669, p &lt; 0.001; YTBV composite β = −0.220, p &lt; 0.001). Multi-group invariance testing revealed significant gender differences for GAD (female 59.47 &gt; male 51.43; F = 44.48, p &lt; 0.001) and SocAD (female 52.74 &gt; male 43.20; F = 45.98, p &lt; 0.001) but full gender invariance for SAD (female 24.76 vs male 25.42; F = 0.25, p = 0.620).</w:t>
      </w:r>
    </w:p>
    <w:p>
      <w:pPr>
        <w:spacing w:after="160"/>
        <w:ind w:firstLine="283"/>
        <w:jc w:val="both"/>
      </w:pPr>
      <w:r>
        <w:rPr>
          <w:rFonts w:ascii="Times New Roman" w:hAnsi="Times New Roman"/>
          <w:i/>
          <w:color w:val="404040"/>
          <w:sz w:val="22"/>
        </w:rPr>
        <w:t>Mô hình SEM theo từng phân loại làm rõ ba đường dẫn khác biệt then chốt.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Thứ ba, hỗ trợ bạn bè không có liên hệ có ý nghĩa với bất kỳ phân loại lo âu nào (β = −0,015 đến −0,079), thách thức giả định về vai trò bảo vệ phổ quát của quan hệ bạn bè ở thanh thiếu niên. Mô hình tích hợp nguy cơ – bảo vệ với các nhân tố tiềm ẩn tổng hợp đạt R² = 0,598 cho tổng lo âu (β tổng YTNC = 0,669; β tổng YTBV = −0,220; cả hai p &lt; 0,001). Kiểm định bất biến đa nhóm cho thấy khác biệt giới có ý nghĩa với GAD (nữ 59,47 &gt; nam 51,43; F = 44,48; p &lt; 0,001) và SocAD (nữ 52,74 &gt; nam 43,20; F = 45,98; p &lt; 0,001) nhưng bất biến giới hoàn toàn với SAD (nữ 24,76 vs nam 25,42; F = 0,25;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showed its strongest impact on separation anxiety, self-esteem served as the strongest single protective lever against generalised anxiety, and separation anxiety alone exhibited complete gender invariance — consistent with a cultural-collectivism interpretation in which family hierarchy creates uniform attachment experiences across genders. These findings support subtype-targeted prevention frameworks that incorporate culture-sensitive self-esteem building and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phù hợp với cách diễn giải văn hóa tập thể, trong đó hệ thống thứ bậc gia đình tạo trải nghiệm gắn bó đồng nhất giữa các giới. Các phát hiện này ủng hộ các khung phòng ngừa theo từng phân loại, tích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mixed-methods</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phương pháp hỗn hợp</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globally. The Global Burden of Disease 2021 estimates that anxiety disorders affect approximately 11.9% of adolescents in the ASEAN region and 10.1% in Vietnam, with the largest age-standardised incidence increase recorded in Asia between 1990 and 2021 [GBD ASEAN 2025; Kieling et al. 2024]. Beyond aggregate burden, epidemiological evidence indicates that anxiety in adolescence is frequently chronic: a population-based cohort in Australia found that 64% of adolescents reported anxiety or depressive symptoms on three or more occasions between ages 10 and 18 [Robson et al. 2025].</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Ngoài gánh nặng tổng thể, bằng chứng dịch tễ cho thấy lo âu ở tuổi vị thành niên thường mang tính mạn tính: một nghiên cứu đoàn hệ dựa trên dân số tại Úc cho thấy 64% thanh thiếu niên báo cáo triệu chứng lo âu hoặc trầm cảm ít nhất ba lần trong giai đoạn 10–18 tuổi.</w:t>
      </w:r>
    </w:p>
    <w:p>
      <w:pPr>
        <w:spacing w:after="60"/>
        <w:ind w:firstLine="283"/>
        <w:jc w:val="both"/>
      </w:pPr>
      <w:r>
        <w:rPr>
          <w:rFonts w:ascii="Times New Roman" w:hAnsi="Times New Roman"/>
          <w:sz w:val="24"/>
        </w:rPr>
        <w:t>Critical to the present study is the recognition that "anxiety" is not a unitary phenomenon. The Diagnostic and Statistical Manual of Mental Disorders, Fifth Edition (DSM-5) distinguishes generalised anxiety disorder (GAD), separation anxiety disorder (SAD) and social anxiety disorder (SocAD) as discrete entities with differential developmental trajectories, etiological pathways and evidence-based treatments [Chorpita 2000]. Aggregating these subtypes obscures clinically actionable heterogeneity. Nevertheless, most Asian studies report anxiety only as a composite outcome [Xu et al. 2021; Chen et al. 2023; Wen et al. 2020; Saikia et al. 2023], leaving subtype-specific risk-protective architectures unmapped in the Vietnamese context.</w:t>
      </w:r>
    </w:p>
    <w:p>
      <w:pPr>
        <w:spacing w:after="160"/>
        <w:ind w:firstLine="283"/>
        <w:jc w:val="both"/>
      </w:pPr>
      <w:r>
        <w:rPr>
          <w:rFonts w:ascii="Times New Roman" w:hAnsi="Times New Roman"/>
          <w:i/>
          <w:color w:val="404040"/>
          <w:sz w:val="22"/>
        </w:rPr>
        <w:t>Một điểm cốt lõi của nghiên cứu này là sự thừa nhận rằng "lo âu" không phải là một hiện tượng đơn nhất. Sổ tay Chẩn đoán và Thống kê các Rối loạn Tâm thần phiên bản thứ năm (DSM-5) phân biệt rối loạn lo âu tổng quát (GAD), rối loạn lo âu chia ly (SAD) và rối loạn lo âu xã hội (SocAD) thành các thực thể riêng biệt với quỹ đạo phát triển, đường dẫn nguyên nhân và phác đồ điều trị dựa trên bằng chứng khác nhau. Việc gộp các phân loại này che lấp tính dị biệt lâm sàng có thể hành động. Tuy vậy, phần lớn các nghiên cứu châu Á chỉ báo cáo lo âu dưới dạng kết quả tổng hợp, để lại khoảng trống cấu trúc nguy cơ – bảo vệ theo từng phân loại trong bối cảnh Việt Nam.</w:t>
      </w:r>
    </w:p>
    <w:p>
      <w:pPr>
        <w:spacing w:after="60"/>
        <w:ind w:firstLine="283"/>
        <w:jc w:val="both"/>
      </w:pPr>
      <w:r>
        <w:rPr>
          <w:rFonts w:ascii="Times New Roman" w:hAnsi="Times New Roman"/>
          <w:sz w:val="24"/>
        </w:rPr>
        <w:t>The Vietnamese context introduces three culturally specific considerations [Anderson et al. 2025]. First, a Confucian academic culture frames high-stakes examinations as the principal gateway to social mobility, intensifying chronic academic stress. Second, a hierarchical family structure constrains emotional disclosure between adolescents and parents, potentially attenuating parental support efficacy. Third, a collectivist orientation may uniformly shape attachment processes across genders, with theoretical implications for separation anxiety [Triandis 1995; Markus &amp; Kitayama 1991]. These culture-specific features call for empirical examination beyond imported Western frameworks.</w:t>
      </w:r>
    </w:p>
    <w:p>
      <w:pPr>
        <w:spacing w:after="160"/>
        <w:ind w:firstLine="283"/>
        <w:jc w:val="both"/>
      </w:pPr>
      <w:r>
        <w:rPr>
          <w:rFonts w:ascii="Times New Roman" w:hAnsi="Times New Roman"/>
          <w:i/>
          <w:color w:val="404040"/>
          <w:sz w:val="22"/>
        </w:rPr>
        <w:t>Bối cảnh Việt Nam đặt ra ba yếu tố đặc thù văn hóa. Thứ nhất, văn hóa học thuật Nho giáo coi các kỳ thi áp lực cao là cửa ngõ chính để di chuyển xã hội, làm gia tăng stress học tập kéo dài. Thứ hai, cấu trúc gia đình thứ bậc hạn chế việc bộc lộ cảm xúc giữa thanh thiếu niên và cha mẹ, có thể làm suy giảm hiệu lực của hỗ trợ cha mẹ. Thứ ba, định hướng tập thể có thể định hình các quá trình gắn bó một cách đồng nhất giữa các giới, với hàm ý lý thuyết cho lo âu chia ly.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[Lazarus &amp; Folkman 1984] posits that adolescent psychopathology emerges from dynamic interactions between stressors and resources, both internal (self-esteem) and external (school, peer, family). A landmark meta-analysis by Compas and colleagues (212 studies, N = 80,850) confirmed the joint contribution of risk and protective factors to youth internalising symptoms [Compas et al. 2017]. Critically, however, the majority of primary studies tested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giả định rằng tâm bệnh ở tuổi thanh thiếu niên xuất hiện từ tương tác động giữa các yếu tố gây stress và các nguồn lực, cả nội tại (tự trọng) và bên ngoài (trường học, bạn bè, gia đình). Một phân tích tổng hợp quan trọng của Compas và cộng sự (212 nghiên cứu, N = 80.850) đã khẳng định sự đóng góp đồng thời của các yếu tố nguy cơ và bảo vệ đối với các triệu chứng nội hóa ở giới trẻ. Tuy nhiên, phần lớn các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Within Vietnam, methodological inconsistency further obscures the evidence base. The Vietnam Adolescent Mental Health Survey (V-NAMHS) using the DSM-5–anchored Diagnostic Interview Schedule for Children (DISC-5) estimated a 12-month anxiety disorder prevalence of 2.3% [V-NAMHS 2022], whereas school-based studies using continuous symptom scales (e.g., DASS-21) report substantially higher rates [Hoang Trung Hoc 2025, N = 8,389]. This measurement gap underscores the need for analytical strategies that move beyond aggregate prevalence to mechanistic models of subtype-specific pathways.</w:t>
      </w:r>
    </w:p>
    <w:p>
      <w:pPr>
        <w:spacing w:after="160"/>
        <w:ind w:firstLine="283"/>
        <w:jc w:val="both"/>
      </w:pPr>
      <w:r>
        <w:rPr>
          <w:rFonts w:ascii="Times New Roman" w:hAnsi="Times New Roman"/>
          <w:i/>
          <w:color w:val="404040"/>
          <w:sz w:val="22"/>
        </w:rPr>
        <w:t>Tại Việt Nam, sự thiếu nhất quán về phương pháp luận làm cho cơ sở bằng chứng thêm mờ nhạt. Khảo sát Sức khỏe Tâm thần Thanh thiếu niên Việt Nam (V-NAMHS) sử dụng Bảng phỏng vấn chẩn đoán cho trẻ em phiên bản DSM-5 (DISC-5) ước tính tỷ lệ rối loạn lo âu trong 12 tháng là 2,3%, trong khi các nghiên cứu trường học sử dụng thang đo triệu chứng liên tục (ví dụ DASS-21) báo cáo tỷ lệ cao hơn nhiều (Hoàng Trung Học 2025, N = 8.389). Khoảng cách đo lường này nhấn mạnh nhu cầu về chiến lược phân tích vượt ra ngoài tỷ lệ tổng hợp để tiến tới mô hình cơ chế của các đường dẫn theo từng phân loại.</w:t>
      </w:r>
    </w:p>
    <w:p>
      <w:pPr>
        <w:spacing w:before="160" w:after="40"/>
      </w:pPr>
      <w:r>
        <w:rPr>
          <w:rFonts w:ascii="Times New Roman" w:hAnsi="Times New Roman"/>
          <w:b/>
          <w:sz w:val="24"/>
        </w:rPr>
        <w:t>1.3 Gender, separation anxiety and the cultural 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derived from Western literature is that females exhibit higher anxiety than males across subtypes [McLean et al. 2011]. Emerging Asian evidence challenges this expectation: rural Chinese males have shown higher anxiety than rural Chinese females [Wen et al. 2020], and Northeast Indian adolescent boys reported significantly higher severe-anxiety prevalence than girls (30.0% vs 18.9%; p = 0.049) [Saikia et al. 2023].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Bằng chứng mới nổi từ châu Á thách thức kỳ vọng này: nam thanh thiếu niên Trung Quốc nông thôn có mức lo âu cao hơn nữ cùng vùng, và nam thanh thiếu niên Đông Bắc Ấn Độ có tỷ lệ lo âu nặng cao hơn nữ một cách có ý nghĩa (30,0% so với 18,9%; p = 0,049). Các mẫu hình này gợi ý rằng tác động của giới lên lo âu phụ thuộc vào văn hóa và bối cảnh,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[Markus &amp; Kitayama 1991] and developmental work indicating that separation-individuation tasks are predominantly childhood-onset and thus precede the post-pubertal differentiation of gender-loaded social pressures [Allen et al. 2013].</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và các nghiên cứu phát triển cho thấy các nhiệm vụ chia ly – cá nhân hóa chủ yếu khởi phát từ thời thơ ấu, do đó đi trước sự phân hóa giới của các áp lực xã hội sau dậy thì.</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We present a convergent-parallel mixed-methods study that integrates subtype-specific SEM with semi-structured qualitative interviews to test three hypotheses in a Vietnamese lower secondary school sample:</w:t>
      </w:r>
    </w:p>
    <w:p>
      <w:pPr>
        <w:spacing w:after="160"/>
        <w:ind w:firstLine="283"/>
        <w:jc w:val="both"/>
      </w:pPr>
      <w:r>
        <w:rPr>
          <w:rFonts w:ascii="Times New Roman" w:hAnsi="Times New Roman"/>
          <w:i/>
          <w:color w:val="404040"/>
          <w:sz w:val="22"/>
        </w:rPr>
        <w:t>Chúng tôi trình bày một nghiên cứu hỗn hợp song song hội tụ tích hợp SEM theo từng phân loại với phỏng vấn bán cấu trúc nhằm kiểm định ba giả thuyết trên mẫu học sinh trung học cơ sở Việt Nam:</w:t>
      </w:r>
    </w:p>
    <w:p>
      <w:pPr>
        <w:spacing w:after="60"/>
        <w:jc w:val="both"/>
      </w:pPr>
      <w:r>
        <w:rPr>
          <w:rFonts w:ascii="Times New Roman" w:hAnsi="Times New Roman"/>
          <w:sz w:val="24"/>
        </w:rPr>
        <w:t>H1: All three risk factors (academic pressure, smartphone addiction,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while GAD and SocAD will exhibit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firstLine="283"/>
        <w:jc w:val="both"/>
      </w:pPr>
      <w:r>
        <w:rPr>
          <w:rFonts w:ascii="Times New Roman" w:hAnsi="Times New Roman"/>
          <w:sz w:val="24"/>
        </w:rPr>
        <w:t>Qualitative interviews illuminate the cultural-contextual mechanisms underlying the statistical patterns and enable triangulation in a joint-display matrix.</w:t>
      </w:r>
    </w:p>
    <w:p>
      <w:pPr>
        <w:spacing w:after="160"/>
        <w:ind w:firstLine="283"/>
        <w:jc w:val="both"/>
      </w:pPr>
      <w:r>
        <w:rPr>
          <w:rFonts w:ascii="Times New Roman" w:hAnsi="Times New Roman"/>
          <w:i/>
          <w:color w:val="404040"/>
          <w:sz w:val="22"/>
        </w:rPr>
        <w:t>Phỏng vấn định tính làm sáng tỏ cơ chế văn hóa – bối cảnh đằng sau các mẫu hình thống kê và cho phép tam giác hóa trong ma trận joint-display.</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We employed a convergent-parallel mixed-methods cross-sectional design [Creswell &amp; Plano Clark 2018] in which quantitative and qualitative strands were collected concurrently, analysed independently, and integrated at the interpretation stage. The quantitative sample comprised 1,352 lower secondary school students (Male = 614, 45.4%; Female = 738, 54.6%) recruited from two purposively selected schools in Hanoi, Vietnam (Nhat Tan and Tay Mo) representing urban and suburban contexts. Participants were aged 11–14 years and distributed across grades 6 to 9 (Grade 6 = 368, Grade 7 = 316, Grade 8 = 340, Grade 9 = 328). Recruitment proceeded via school administration, with written parental consent and student written assent.</w:t>
      </w:r>
    </w:p>
    <w:p>
      <w:pPr>
        <w:spacing w:after="160"/>
        <w:ind w:firstLine="283"/>
        <w:jc w:val="both"/>
      </w:pPr>
      <w:r>
        <w:rPr>
          <w:rFonts w:ascii="Times New Roman" w:hAnsi="Times New Roman"/>
          <w:i/>
          <w:color w:val="404040"/>
          <w:sz w:val="22"/>
        </w:rPr>
        <w:t>Chúng tôi sử dụng thiết kế hỗn hợp song song hội tụ cắt ngang, trong đó các phần định lượng và định tính được thu thập đồng thời, phân tích độc lập và tích hợp ở giai đoạn diễn giải. Mẫu định lượng gồm 1.352 học sinh trung học cơ sở (nam = 614; 45,4% và nữ = 738; 54,6%) được tuyển từ hai trường tại Hà Nội được chọn có chủ đích (Nhật Tân và Tây Mỗ) đại diện cho bối cảnh đô thị và ngoại ô. Người tham gia ở độ tuổi 11–14, phân bố qua các khối từ 6 đến 9 (khối 6 = 368, khối 7 = 316, khối 8 = 340, khối 9 = 328). Quá trình tuyển chọn được thực hiện qua ban giám hiệu, có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Eight validated instruments were adapted to Vietnamese via forward – back translation, expert review (three clinical psychologists and one educational measurement specialist) and pilot testing on a separate sample of 50 students prior to the main survey. All raw scale scores were rescaled to a 0 – 100 metric for cross-scale comparability while preserving original scoring conventions.</w:t>
      </w:r>
    </w:p>
    <w:p>
      <w:pPr>
        <w:spacing w:after="160"/>
        <w:ind w:firstLine="283"/>
        <w:jc w:val="both"/>
      </w:pPr>
      <w:r>
        <w:rPr>
          <w:rFonts w:ascii="Times New Roman" w:hAnsi="Times New Roman"/>
          <w:i/>
          <w:color w:val="404040"/>
          <w:sz w:val="22"/>
        </w:rPr>
        <w:t>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 – 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using the Revised Children's Anxiety and Depression Scale (RCADS; Chorpita 2000) —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(a) Educational Stress Scale for Adolescents — ESSA (Sun et al. 2011), 4 items; (b) Smartphone Addiction Scale-Short Version — SAS-SV (Kwon et al. 2013), 5 items; and (c) Olweus Bully/Victim Questionnaire — OBVQ (Olweus 1996),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 ESSA (Sun và cộng sự, 2011), 4 mục; (b) thang Nghiện Điện thoại thông minh phiên bản rút gọn — SAS-SV (Kwon và cộng sự, 2013), 5 mục; và (c) Bảng hỏi Bắt nạt/Nạn nhân Olweus — OBVQ (Olweus, 1996), 8 mục đo lường bắt nạt thể chất và lời nói.</w:t>
      </w:r>
    </w:p>
    <w:p>
      <w:pPr>
        <w:spacing w:after="60"/>
        <w:ind w:firstLine="283"/>
        <w:jc w:val="both"/>
      </w:pPr>
      <w:r>
        <w:rPr>
          <w:rFonts w:ascii="Times New Roman" w:hAnsi="Times New Roman"/>
          <w:sz w:val="24"/>
        </w:rPr>
        <w:t>Protective factors comprised: (a) Psychological Sense of School Membership — PSSM (Goodenow 1993), 7 items; (b) Multidimensional Scale of Perceived Social Support — MSPSS (Zimet et al. 1988), 8 items split into parental and peer subscales (4 items each); and (c) Rosenberg Self-Esteem Scale — RSES (Rosenberg 1965), 5 items.</w:t>
      </w:r>
    </w:p>
    <w:p>
      <w:pPr>
        <w:spacing w:after="160"/>
        <w:ind w:firstLine="283"/>
        <w:jc w:val="both"/>
      </w:pPr>
      <w:r>
        <w:rPr>
          <w:rFonts w:ascii="Times New Roman" w:hAnsi="Times New Roman"/>
          <w:i/>
          <w:color w:val="404040"/>
          <w:sz w:val="22"/>
        </w:rPr>
        <w:t>Các yếu tố bảo vệ gồm: (a) thang Cảm nhận Gắn bó với Trường — PSSM (Goodenow, 1993), 7 mục; (b) thang Đa chiều về Hỗ trợ Xã hội Cảm nhận — MSPSS (Zimet và cộng sự, 1988), 8 mục chia thành tiểu thang cha mẹ và bạn bè (mỗi tiểu thang 4 mục); và (c) thang Tự trọng Rosenberg — RSES (Rosenberg, 1965), 5 mục.</w:t>
      </w:r>
    </w:p>
    <w:p>
      <w:pPr>
        <w:spacing w:before="160" w:after="40"/>
      </w:pPr>
      <w:r>
        <w:rPr>
          <w:rFonts w:ascii="Times New Roman" w:hAnsi="Times New Roman"/>
          <w:b/>
          <w:sz w:val="24"/>
        </w:rPr>
        <w:t>2.3 Qualitative interviews</w:t>
      </w:r>
    </w:p>
    <w:p>
      <w:pPr>
        <w:spacing w:after="80"/>
      </w:pPr>
      <w:r>
        <w:rPr>
          <w:rFonts w:ascii="Times New Roman" w:hAnsi="Times New Roman"/>
          <w:b/>
          <w:i/>
          <w:sz w:val="22"/>
        </w:rPr>
        <w:t>2.3 Phỏng vấn định tính</w:t>
      </w:r>
    </w:p>
    <w:p>
      <w:pPr>
        <w:spacing w:after="120"/>
        <w:ind w:left="283"/>
      </w:pPr>
      <w:r>
        <w:rPr>
          <w:rFonts w:ascii="Times New Roman" w:hAnsi="Times New Roman"/>
          <w:b/>
          <w:color w:val="C00000"/>
          <w:sz w:val="22"/>
        </w:rPr>
        <w:t>⚠ [TBD — Q1-6 BLOCKING: NCS to confirm n participants, purposive sampling strategy (stratified by anxiety level High/Medium/Low?), interview duration, recording/transcription status, Cohen's κ intercoder reliability, and thematic coding framework (Braun &amp; Clarke 2006)]</w:t>
      </w:r>
    </w:p>
    <w:p>
      <w:pPr>
        <w:spacing w:after="120"/>
        <w:ind w:left="283"/>
      </w:pPr>
      <w:r>
        <w:rPr>
          <w:rFonts w:ascii="Times New Roman" w:hAnsi="Times New Roman"/>
          <w:b/>
          <w:i/>
          <w:color w:val="C00000"/>
          <w:sz w:val="22"/>
        </w:rPr>
        <w:t>⚠ [Chờ — Q1-6 CHỜ NCS: Số người tham gia, chiến lược chọn mẫu có chủ đích (phân tầng theo mức lo âu Cao/Trung bình/Thấp?), thời lượng phỏng vấn, tình trạng ghi âm/gỡ băng, độ tin cậy intercoder Cohen κ, và khung mã hóa chủ đề]</w:t>
      </w:r>
    </w:p>
    <w:p>
      <w:pPr>
        <w:spacing w:after="60"/>
        <w:ind w:firstLine="283"/>
        <w:jc w:val="both"/>
      </w:pPr>
      <w:r>
        <w:rPr>
          <w:rFonts w:ascii="Times New Roman" w:hAnsi="Times New Roman"/>
          <w:sz w:val="24"/>
        </w:rPr>
        <w:t>Pending NCS confirmation, the qualitative strand employed semi-structured 30–45 minute interviews with adolescents purposively sampled to reflect varying levels of self-reported anxiety. Interviews probed lived experience of academic pressure, family disclosure norms and separation-related concerns. Thematic analysis followed Braun and Clarke (2006). Two coders independently coded transcripts; disagreements were resolved by discussion with a third coder.</w:t>
      </w:r>
    </w:p>
    <w:p>
      <w:pPr>
        <w:spacing w:after="160"/>
        <w:ind w:firstLine="283"/>
        <w:jc w:val="both"/>
      </w:pPr>
      <w:r>
        <w:rPr>
          <w:rFonts w:ascii="Times New Roman" w:hAnsi="Times New Roman"/>
          <w:i/>
          <w:color w:val="404040"/>
          <w:sz w:val="22"/>
        </w:rPr>
        <w:t>Trong khi chờ NCS xác nhận, phần định tính sử dụng phỏng vấn bán cấu trúc 30–45 phút với thanh thiếu niên được chọn có chủ đích phản ánh các mức lo âu tự báo cáo khác nhau. Phỏng vấn khám phá trải nghiệm sống về áp lực học tập, chuẩn mực bộc lộ trong gia đình và mối lo liên quan đến chia ly. Phân tích chủ đề tuân theo Braun và Clarke (2006). Hai mã hóa viên độc lập mã hóa bản gỡ băng; bất đồng được giải quyết qua thảo luận với mã hóa viên thứ ba.</w:t>
      </w:r>
    </w:p>
    <w:p>
      <w:pPr>
        <w:spacing w:before="160" w:after="40"/>
      </w:pPr>
      <w:r>
        <w:rPr>
          <w:rFonts w:ascii="Times New Roman" w:hAnsi="Times New Roman"/>
          <w:b/>
          <w:sz w:val="24"/>
        </w:rPr>
        <w:t>2.4 Analytic strategy</w:t>
      </w:r>
    </w:p>
    <w:p>
      <w:pPr>
        <w:spacing w:after="80"/>
      </w:pPr>
      <w:r>
        <w:rPr>
          <w:rFonts w:ascii="Times New Roman" w:hAnsi="Times New Roman"/>
          <w:b/>
          <w:i/>
          <w:sz w:val="22"/>
        </w:rPr>
        <w:t>2.4 Chiến lược phân tích</w:t>
      </w:r>
    </w:p>
    <w:p>
      <w:pPr>
        <w:spacing w:after="60"/>
        <w:ind w:firstLine="283"/>
        <w:jc w:val="both"/>
      </w:pPr>
      <w:r>
        <w:rPr>
          <w:rFonts w:ascii="Times New Roman" w:hAnsi="Times New Roman"/>
          <w:sz w:val="24"/>
        </w:rPr>
        <w:t>Quantitative analyses proceeded in five steps using AMOS 31.0 and SPSS 31.0. Step 1 generated descriptive statistics and reliability estimates (Cronbach's α, McDonald's ω). Step 2 performed confirmatory factor analysis (CFA) for each scale, applying the fit-index thresholds CFI ≥ 0.90, TLI ≥ 0.90, RMSEA ≤ 0.08 and SRMR ≤ 0.08 [Hu &amp; Bentler 1999]. Step 3 estimated **subtype-specific structural models** for each of the seven predictors against each of the three anxiety subtypes plus the three-factor total RLLA outcome (21 path coefficients of theoretical interest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[Cheung &amp; Rensvold 2002].</w:t>
      </w:r>
    </w:p>
    <w:p>
      <w:pPr>
        <w:spacing w:after="160"/>
        <w:ind w:firstLine="283"/>
        <w:jc w:val="both"/>
      </w:pPr>
      <w:r>
        <w:rPr>
          <w:rFonts w:ascii="Times New Roman" w:hAnsi="Times New Roman"/>
          <w:i/>
          <w:color w:val="404040"/>
          <w:sz w:val="22"/>
        </w:rPr>
        <w:t>Phân tích định lượng tiến hành theo năm bước trên AMOS 31.0 và SPSS 31.0. Bước 1 tạo thống kê mô tả và ước lượng độ tin cậy (Cronbach α, McDonald ω). Bước 2 chạy phân tích nhân tố khẳng định (CFA) cho từng thang, áp dụng ngưỡng chỉ số phù hợp CFI ≥ 0,90; TLI ≥ 0,90; RMSEA ≤ 0,08; SRMR ≤ 0,08. Bước 3 ước lượng **mô hình cấu trúc theo từng phân loại** cho mỗi yếu tố trong số bảy yếu tố dự báo với từng phân loại trong số ba phân loại lo âu cộng với kết quả tổng RLLA ba nhân tố (21 hệ số đường dẫn quan tâm lý thuyết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w:t>
      </w:r>
    </w:p>
    <w:p>
      <w:pPr>
        <w:spacing w:after="60"/>
        <w:ind w:firstLine="283"/>
        <w:jc w:val="both"/>
      </w:pPr>
      <w:r>
        <w:rPr>
          <w:rFonts w:ascii="Times New Roman" w:hAnsi="Times New Roman"/>
          <w:sz w:val="24"/>
        </w:rPr>
        <w:t>Mixed-methods integration followed the convergent-parallel protocol [Creswell &amp; Plano Clark 2018]: standardised quantitative paths and qualitative thematic codes were entered into a joint-display matrix, with congruences and divergences interpreted narratively in the Discussion.</w:t>
      </w:r>
    </w:p>
    <w:p>
      <w:pPr>
        <w:spacing w:after="160"/>
        <w:ind w:firstLine="283"/>
        <w:jc w:val="both"/>
      </w:pPr>
      <w:r>
        <w:rPr>
          <w:rFonts w:ascii="Times New Roman" w:hAnsi="Times New Roman"/>
          <w:i/>
          <w:color w:val="404040"/>
          <w:sz w:val="22"/>
        </w:rPr>
        <w:t>Tích hợp hỗn hợp tuân theo quy trình song song hội tụ: các đường dẫn định lượng chuẩn hóa và mã hóa chủ đề định tính được nhập vào ma trận joint-display, với điểm trùng khớp và phân kỳ được diễn giải bằng phân tích tường thuật trong phần Thảo luận.</w:t>
      </w:r>
    </w:p>
    <w:p>
      <w:pPr>
        <w:spacing w:before="160" w:after="40"/>
      </w:pPr>
      <w:r>
        <w:rPr>
          <w:rFonts w:ascii="Times New Roman" w:hAnsi="Times New Roman"/>
          <w:b/>
          <w:sz w:val="24"/>
        </w:rPr>
        <w:t>2.5 Ethics</w:t>
      </w:r>
    </w:p>
    <w:p>
      <w:pPr>
        <w:spacing w:after="80"/>
      </w:pPr>
      <w:r>
        <w:rPr>
          <w:rFonts w:ascii="Times New Roman" w:hAnsi="Times New Roman"/>
          <w:b/>
          <w:i/>
          <w:sz w:val="22"/>
        </w:rPr>
        <w:t>2.5 Đạo đức nghiên cứu</w:t>
      </w:r>
    </w:p>
    <w:p>
      <w:pPr>
        <w:spacing w:after="60"/>
        <w:ind w:firstLine="283"/>
        <w:jc w:val="both"/>
      </w:pPr>
      <w:r>
        <w:rPr>
          <w:rFonts w:ascii="Times New Roman" w:hAnsi="Times New Roman"/>
          <w:sz w:val="24"/>
        </w:rPr>
        <w:t>The study was approved by the Hanoi National University of Education Institutional Review Board. Written parental consent and student written assent were obtained. Data were anonymised via ID codes; no personal identifiers appear in transcripts or analysis files;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Dữ liệu được ẩn danh hóa bằng mã số nhận dạng; không có thông tin cá nhân xuất hiện trong bản gỡ băng hoặc tệp phân tích; dữ liệu được lưu trữ trên máy chủ truy cập có kiểm soát của cơ sở.</w:t>
      </w:r>
    </w:p>
    <w:p>
      <w:pPr>
        <w:spacing w:after="120"/>
        <w:ind w:left="283"/>
      </w:pPr>
      <w:r>
        <w:rPr>
          <w:rFonts w:ascii="Times New Roman" w:hAnsi="Times New Roman"/>
          <w:b/>
          <w:color w:val="C00000"/>
          <w:sz w:val="22"/>
        </w:rPr>
        <w:t>⚠ [TBD — Q3-6 BLOCKING: IRB decision number and date pending official letter from HNUE Ethics Committee]</w:t>
      </w:r>
    </w:p>
    <w:p>
      <w:pPr>
        <w:spacing w:after="120"/>
        <w:ind w:left="283"/>
      </w:pPr>
      <w:r>
        <w:rPr>
          <w:rFonts w:ascii="Times New Roman" w:hAnsi="Times New Roman"/>
          <w:b/>
          <w:i/>
          <w:color w:val="C00000"/>
          <w:sz w:val="22"/>
        </w:rPr>
        <w:t>⚠ [Chờ — Q3-6 CHỜ: số quyết định và ngày của Hội đồng Đạo đức ĐHSPHN]</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female. Mean age was 12.5 years (SD = 1.1). Grade distribution: Grade 6 (n = 368), Grade 7 (n = 316), Grade 8 (n = 340), Grade 9 (n = 328). All eight scales achieved acceptable internal consistency (Cronbach's α ≥ 0.70) and adequate CFA fit (CFI ≥ 0.90, RMSEA ≤ 0.08). Detailed psychometric statistics appear in Table 2.</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khối 9 (n = 328). Tất cả tám thang đo đạt độ nhất quán nội tại chấp nhận được (Cronbach α ≥ 0,70) và độ phù hợp CFA đầy đủ (CFI ≥ 0,90; RMSEA ≤ 0,08). Các chỉ số tâm trắc chi tiết được trình bày trong Bảng 2.</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On the 0–100 metric, mean anxiety scores differed substantially across subtypes: GAD M = 55.82, SocAD M = 48.41 and SAD M = 25.06 (SD ≈ 24.29). Separation anxiety scored markedly lower than both generalised and social anxiety, in line with developmental theory positing childhood onset and attenuation across early adolescence.</w:t>
      </w:r>
    </w:p>
    <w:p>
      <w:pPr>
        <w:spacing w:after="160"/>
        <w:ind w:firstLine="283"/>
        <w:jc w:val="both"/>
      </w:pPr>
      <w:r>
        <w:rPr>
          <w:rFonts w:ascii="Times New Roman" w:hAnsi="Times New Roman"/>
          <w:i/>
          <w:color w:val="404040"/>
          <w:sz w:val="22"/>
        </w:rPr>
        <w:t>Trên thang 0–100, điểm lo âu trung bình khác biệt đáng kể giữa các phân loại: GAD M = 55,82; SocAD M = 48,41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w:t>
      </w:r>
    </w:p>
    <w:p>
      <w:pPr>
        <w:spacing w:before="160" w:after="40"/>
      </w:pPr>
      <w:r>
        <w:rPr>
          <w:rFonts w:ascii="Times New Roman" w:hAnsi="Times New Roman"/>
          <w:b/>
          <w:sz w:val="24"/>
        </w:rPr>
        <w:t>3.3 Subtype-specific path coefficients (Table 3)</w:t>
      </w:r>
    </w:p>
    <w:p>
      <w:pPr>
        <w:spacing w:after="80"/>
      </w:pPr>
      <w:r>
        <w:rPr>
          <w:rFonts w:ascii="Times New Roman" w:hAnsi="Times New Roman"/>
          <w:b/>
          <w:i/>
          <w:sz w:val="22"/>
        </w:rPr>
        <w:t>3.3 Hệ số đường dẫn theo từng phân loại (Bảng 3)</w:t>
      </w:r>
    </w:p>
    <w:p>
      <w:pPr>
        <w:spacing w:after="60"/>
        <w:ind w:firstLine="283"/>
        <w:jc w:val="both"/>
      </w:pPr>
      <w:r>
        <w:rPr>
          <w:rFonts w:ascii="Times New Roman" w:hAnsi="Times New Roman"/>
          <w:sz w:val="24"/>
        </w:rPr>
        <w:t>Subtype-specific SEM was run for each of the seven predictors against GAD, SAD, SocAD and total RLLA. All 21 risk-anxiety paths and 12 of 12 protective-anxiety paths to GAD/SocAD reached statistical significance, with the conspicuous exceptions of peer support paths to GAD and SAD (n.s.) and school engagement → SAD (n.s.). Detailed coefficients appear below.</w:t>
      </w:r>
    </w:p>
    <w:p>
      <w:pPr>
        <w:spacing w:after="160"/>
        <w:ind w:firstLine="283"/>
        <w:jc w:val="both"/>
      </w:pPr>
      <w:r>
        <w:rPr>
          <w:rFonts w:ascii="Times New Roman" w:hAnsi="Times New Roman"/>
          <w:i/>
          <w:color w:val="404040"/>
          <w:sz w:val="22"/>
        </w:rPr>
        <w:t>SEM theo từng phân loại được chạy cho mỗi yếu tố trong số bảy yếu tố dự báo với GAD, SAD, SocAD và RLLA tổng. Toàn bộ 21 đường dẫn nguy cơ – lo âu và 12 trên 12 đường dẫn bảo vệ – lo âu tới GAD/SocAD đạt ý nghĩa thống kê, với ngoại lệ rõ ràng là các đường dẫn hỗ trợ bạn bè tới GAD và SAD (không có ý nghĩa) và gắn bó trường học tới SAD (không có ý nghĩa). Hệ số chi tiết được trình bày bên dưới.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0.001; ** p &lt; 0.01; * p &lt; 0.05; n.s. = non-significant. ★ = key novel pathways. β verified against LA Bảng 27 (ALHT), 30 (NĐT), 33 (BNHĐ), 36 (GBTH), 39 (TTr), 42 (HTCM), 45 (HTBB).</w:t>
      </w:r>
    </w:p>
    <w:p>
      <w:pPr>
        <w:spacing w:after="160"/>
        <w:jc w:val="both"/>
      </w:pPr>
      <w:r>
        <w:rPr>
          <w:rFonts w:ascii="Times New Roman" w:hAnsi="Times New Roman"/>
          <w:i/>
          <w:color w:val="404040"/>
          <w:sz w:val="22"/>
        </w:rPr>
        <w:t>Ghi chú. *** p &lt; 0,001; ** p &lt; 0,01; * p &lt; 0,05; n.s. = không có ý nghĩa thống kê. ★ = các đường dẫn then chốt mới. Các giá trị β đã được đối chiếu với LA Bảng 27 (ALHT), 30 (NĐT), 33 (BNHĐ), 36 (GBTH), 39 (TTr), 42 (HTCM),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0.001), exceeding its paths to GAD (β = 0.215) and SocAD (β = 0.253). This pattern is counterintuitive because bullying is most often theorised as a social-evaluative stressor and might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0.001), with magnitude approaching the dominant academic-pressure risk effect on GAD (β = 0.510). The total RLLA path from self-esteem was −0.457 (R² = 0.209). This positions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Điều này định vị xây dựng tự trọng như một mục tiêu can thiệp có hiệu suất cao.</w:t>
      </w:r>
    </w:p>
    <w:p>
      <w:pPr>
        <w:spacing w:after="60"/>
        <w:ind w:firstLine="283"/>
        <w:jc w:val="both"/>
      </w:pPr>
      <w:r>
        <w:rPr>
          <w:rFonts w:ascii="Times New Roman" w:hAnsi="Times New Roman"/>
          <w:sz w:val="24"/>
        </w:rPr>
        <w:t>Third, **peer support** showed no significant effect on total RLLA (β = −0.044, p = 0.183, R² = 0.002), and was non-significant for both GAD (β = −0.015, n.s.) and SAD (β = −0.019, n.s.), reaching only marginal significance for SocAD (β = −0.079, p = 0.020). This pattern challenges the assumed universal protective role of peer relationships and is consistent with the co-rumination hypothesis: among adolescents who do confide, frequency of peer disclosure may not equate to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vai trò bảo vệ phổ quát được giả định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A higher-order composite SEM combined the three risk factors into a Risk latent (YTNC) and the four protective factors into a Protective latent (YTBV), both predicting total RLLA simultaneously. The composite Risk → RLLA path was β = 0.669 (p &lt; 0.001) and the composite Protective → RLLA path was β = −0.220 (p &lt; 0.001), with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Configural invariance was achieved (both groups fitted the same structural model), supporting subsequent invariance comparisons, following procedures established for cross-gender invariance of GAD-7 in adolescent samples [Niwenahisemo, Su, &amp; Kuang 2024].Mean scores diverged significantly by gender for **GAD** (Female M = 59.47 vs Male M = 51.43; F = 44.48, p &lt; 0.001) and **SocAD** (Female M = 52.74 vs Male M = 43.20; F = 45.98, p &lt; 0.001). Strikingly, **SAD exhibited complete gender invariance** (Female M = 24.76 vs Male M = 25.42; F = 0.246, p = 0.620), consistent with H3.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Bất biến cấu hình được đạt (cả hai nhóm vừa khít cùng một mô hình cấu trúc), hỗ trợ các so sánh bất biến tiếp theo, theo các quy trình đã được thiết lập cho bất biến giữa các giới của GAD-7 trên mẫu thanh thiếu niên (Niwenahisemo, Su, &amp; Kuang 2024).Điểm trung bình khác biệt có ý nghĩa theo giới với **GAD** (nữ M = 59,47 so với nam M = 51,43; F = 44,48; p &lt; 0,001) và **SocAD** (nữ M = 52,74 so với nam M = 43,20; F = 45,98; p &lt; 0,001). Đáng chú ý, **SAD thể hiện bất biến giới hoàn toàn** (nữ M = 24,76 so với nam M = 25,42; F = 0,246; p = 0,620), phù hợp với H3. Đây là trường hợp được ghi nhận đầu tiên về bất biến giới hoàn toàn của SAD trên mẫu học sinh trung học cơ sở Việt Nam.</w:t>
      </w:r>
    </w:p>
    <w:p>
      <w:pPr>
        <w:spacing w:before="160" w:after="40"/>
      </w:pPr>
      <w:r>
        <w:rPr>
          <w:rFonts w:ascii="Times New Roman" w:hAnsi="Times New Roman"/>
          <w:b/>
          <w:sz w:val="24"/>
        </w:rPr>
        <w:t>3.7 Mixed-methods integration — joint display</w:t>
      </w:r>
    </w:p>
    <w:p>
      <w:pPr>
        <w:spacing w:after="80"/>
      </w:pPr>
      <w:r>
        <w:rPr>
          <w:rFonts w:ascii="Times New Roman" w:hAnsi="Times New Roman"/>
          <w:b/>
          <w:i/>
          <w:sz w:val="22"/>
        </w:rPr>
        <w:t>3.7 Tích hợp hỗn hợp — ma trận joint-display</w:t>
      </w:r>
    </w:p>
    <w:p>
      <w:pPr>
        <w:spacing w:after="120"/>
        <w:ind w:left="283"/>
      </w:pPr>
      <w:r>
        <w:rPr>
          <w:rFonts w:ascii="Times New Roman" w:hAnsi="Times New Roman"/>
          <w:b/>
          <w:color w:val="C00000"/>
          <w:sz w:val="22"/>
        </w:rPr>
        <w:t>⚠ [TBD — Q1-6 BLOCKING: Qualitative themes will be inserted following NCS interview data and transcripts; current Section 3.7 provides tentative themes only]</w:t>
      </w:r>
    </w:p>
    <w:p>
      <w:pPr>
        <w:spacing w:after="120"/>
        <w:ind w:left="283"/>
      </w:pPr>
      <w:r>
        <w:rPr>
          <w:rFonts w:ascii="Times New Roman" w:hAnsi="Times New Roman"/>
          <w:b/>
          <w:i/>
          <w:color w:val="C00000"/>
          <w:sz w:val="22"/>
        </w:rPr>
        <w:t>⚠ [Chờ — Q1-6 CHỜ: Các chủ đề định tính sẽ được chèn sau khi NCS cung cấp dữ liệu phỏng vấn và bản gỡ băng; Section 3.7 hiện tại chỉ trình bày các chủ đề tạm thời]</w:t>
      </w:r>
    </w:p>
    <w:p>
      <w:pPr>
        <w:spacing w:after="60"/>
        <w:ind w:firstLine="283"/>
        <w:jc w:val="both"/>
      </w:pPr>
      <w:r>
        <w:rPr>
          <w:rFonts w:ascii="Times New Roman" w:hAnsi="Times New Roman"/>
          <w:sz w:val="24"/>
        </w:rPr>
        <w:t>Three tentative themes are proposed for integration with the quantitative findings: (1) "Im lặng trong gia đình" (silent suffering in family) — illuminating limited parental-support efficacy; (2) "Áp lực bạn cùng lứa" (peer competitive pressure) — illuminating why peer support does not protect; and (3) "Sợ tách rời" (fear of separation) — illuminating gender invariance for SAD. A full joint-display matrix will be presented once interview data are finalised.</w:t>
      </w:r>
    </w:p>
    <w:p>
      <w:pPr>
        <w:spacing w:after="160"/>
        <w:ind w:firstLine="283"/>
        <w:jc w:val="both"/>
      </w:pPr>
      <w:r>
        <w:rPr>
          <w:rFonts w:ascii="Times New Roman" w:hAnsi="Times New Roman"/>
          <w:i/>
          <w:color w:val="404040"/>
          <w:sz w:val="22"/>
        </w:rPr>
        <w:t>Ba chủ đề tạm thời được đề xuất để tích hợp với các phát hiện định lượng: (1) "Im lặng trong gia đình" — làm rõ hiệu lực hạn chế của hỗ trợ cha mẹ; (2) "Áp lực bạn cùng lứa" — làm rõ vì sao hỗ trợ bạn bè không phòng vệ; và (3) "Sợ tách rời" — làm rõ bất biến giới của SAD. Ma trận joint-display đầy đủ sẽ được trình bày sau khi dữ liệu phỏng vấn được hoàn thiện.</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peer-support paths; H3 was supported.</w:t>
      </w:r>
    </w:p>
    <w:p>
      <w:pPr>
        <w:spacing w:after="160"/>
        <w:ind w:firstLine="283"/>
        <w:jc w:val="both"/>
      </w:pPr>
      <w:r>
        <w:rPr>
          <w:rFonts w:ascii="Times New Roman" w:hAnsi="Times New Roman"/>
          <w:i/>
          <w:color w:val="404040"/>
          <w:sz w:val="22"/>
        </w:rPr>
        <w:t>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Systematic reviews of academic pressure and adolescent mental health [Pascoe et al. 2020; Steare et al. 2023] have confirmed positive risk-pathways but did not differentiate among DSM-5 anxiety subtypes; the present subtype-specific findings extend their aggregate conclusions. We interpret the bullying-SAD pattern via attachment theory: bullying victimisation plausibly disrupts the perception of school as a secondary secure base, intensifying attachment-related distress on separation from primary caregivers [Allen et al. 2013]. The pattern aligns with cross-cultural evidence that bullying victimisation in collectivist contexts is preferentially processed as an attachment-related threat [Triandis 1995].</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Các tổng quan hệ thống về áp lực học tập và sức khỏe tâm thần thanh thiếu niên (Pascoe và cộng sự 2020; Steare và cộng sự 2023) đã xác nhận các đường dẫn nguy cơ dương nhưng chưa phân tách theo các phân loại lo âu DSM-5; các phát hiện theo phân loại của chúng tôi mở rộng các kết luận tổng hợp đó. Chúng tôi diễn giải mẫu hình bắt nạt – SAD qua lý thuyết gắn bó: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Self-esteem's path to GAD (β = −0.455) approached the magnitude of academic pressure's risk path (β = 0.510), and its path to total RLLA reached β = −0.457 (R² = 0.209). Compas and colleagues [Compas et al. 2017, N = 80,850] reported that cognitive restructuring and self-esteem-building intervention components show comparable effect sizes to academic-stress-management components. The present results are consistent with this and identify self-esteem building as a high-yield single-component intervention target for adolescent GAD in the Vietnamese context.</w:t>
      </w:r>
    </w:p>
    <w:p>
      <w:pPr>
        <w:spacing w:after="160"/>
        <w:ind w:firstLine="283"/>
        <w:jc w:val="both"/>
      </w:pPr>
      <w:r>
        <w:rPr>
          <w:rFonts w:ascii="Times New Roman" w:hAnsi="Times New Roman"/>
          <w:i/>
          <w:color w:val="404040"/>
          <w:sz w:val="22"/>
        </w:rPr>
        <w:t>Đường dẫn của tự trọng tới GAD (β = −0,455) gần bằng độ lớn của đường dẫn nguy cơ từ áp lực học tập (β = 0,510), và đường dẫn của tự trọng tới tổng RLLA đạt β = −0,457 (R² = 0,209). Compas và cộng sự (N = 80.850) báo cáo rằng các thành phần can thiệp tái cấu trúc nhận thức và xây dựng tự trọng có độ lớn hiệu quả tương đương với các thành phần quản lý stress học tập. Kết quả hiện tại phù hợp với điều đó và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peer disclosure norms may emphasise emotional regulation ("nhẫn", endurance) over expressive sharing, attenuating the support-seeking buffer mechanism; second, the co-rumination hypothesis suggests that frequent peer disclosure can recursively amplify worry rather than dissipate it, especially when academic-competition norms are operative. Future research employing qualitative deep-probes of peer support content (rather than frequency) is warranted.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chuẩn mực giãi bày với bạn bè có thể nhấn mạnh điều tiết cảm xúc ("nhẫn") hơn là chia sẻ biểu cảm, làm suy giảm cơ chế đệm tìm kiếm hỗ trợ; thứ hai, giả thuyết co-rumination gợi ý rằng giãi bày thường xuyên với bạn bè có thể khuếch đại lo lắng theo vòng lặp thay vì tiêu tan, đặc biệt khi chuẩn mực cạnh tranh học thuật đang vận hành. Nghiên cứu trong tương lai sử dụng thăm dò định tính sâu về nội dung hỗ trợ bạn bè (thay vì tần suất) là cần thiết.</w:t>
      </w:r>
    </w:p>
    <w:p>
      <w:pPr>
        <w:spacing w:before="160" w:after="40"/>
      </w:pPr>
      <w:r>
        <w:rPr>
          <w:rFonts w:ascii="Times New Roman" w:hAnsi="Times New Roman"/>
          <w:b/>
          <w:sz w:val="24"/>
        </w:rPr>
        <w:t>4.5 Separation anxiety gender invariance —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0.620), against significant gender differences for GAD and SocAD, is the most theoretically distinctive finding of this study. We advance two non-mutually-exclusive explanations. First, **cultural collectivism**: Vietnamese family hierarchy creates uniform separation experiences across genders [Triandis 1995]. Under interdependent self-construal [Markus &amp; Kitayama 1991],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[Allen et al. 2013]. Pre-pubertal separation challenges are universal across genders, whereas post-pubertal social evaluation and academic 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Dưới khái niệm bản thân phụ thuộc lẫn nhau,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Three implications follow. First, a **tiered prevention** architecture is warranted: universal classroom-based intervention for risk-factor reduction (academic pressure management, anti-bullying programmes,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Ba hàm ý sau đây. Thứ nhất, một kiến trúc **phòng ngừa phân tầng** là cần thiết: can thiệp dựa trên lớp học phổ quát để giảm yếu tố nguy cơ (quản lý áp lực học tập, chương trình chống bắt nạt,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(1) The cross-sectional design precludes causal inference; a longitudinal cohort following the same students from Grade 6 to Grade 9 would permit temporal ordering of risk-protective and anxiety pathways. (2) The sample is drawn from two Hanoi schools and may not generalise to rural or southern Vietnamese contexts; multi-site replication is needed. (3) Self-report measures of bullying and anxiety carry known shared-method variance risk; future studies should integrate peer-nomination bullying measures and clinical diagnostic anxiety interviews. (4) The qualitative sub-sample size and intercoder reliability pending NCS confirmation (Section 2.3). (5) Future randomised controlled trials should test the Khung CT 8-content prevention curriculum derived from these mechanistic findings, ideally with the OurFutures Mental Health Australia template adapted for the Vietnamese context [Grummitt et al. 2025].</w:t>
      </w:r>
    </w:p>
    <w:p>
      <w:pPr>
        <w:spacing w:after="160"/>
        <w:ind w:firstLine="283"/>
        <w:jc w:val="both"/>
      </w:pPr>
      <w:r>
        <w:rPr>
          <w:rFonts w:ascii="Times New Roman" w:hAnsi="Times New Roman"/>
          <w:i/>
          <w:color w:val="404040"/>
          <w:sz w:val="22"/>
        </w:rPr>
        <w:t>Một số hạn chế giới hạn các phát hiện hiện tại. (1) Thiết kế cắt ngang loại trừ suy luận nhân quả; một đoàn hệ dọc theo dõi cùng học sinh từ khối 6 đến khối 9 sẽ cho phép sắp xếp thời gian của các đường dẫn nguy cơ – bảo vệ và lo âu. (2) Mẫu lấy từ hai trường ở Hà Nội và có thể không khái quát hóa cho bối cảnh nông thôn hoặc miền Nam Việt Nam; cần nhân rộng đa địa điểm. (3) Các đo lường tự báo cáo về bắt nạt và lo âu mang rủi ro phương sai phương pháp chia sẻ; nghiên cứu tương lai cần tích hợp đo lường bắt nạt theo đề cử bạn bè và phỏng vấn chẩn đoán lâm sàng về lo âu. (4) Cỡ mẫu phụ định tính và độ tin cậy intercoder đang chờ NCS xác nhận (Mục 2.3). (5) Các thử nghiệm ngẫu nhiên có đối chứng trong tương lai cần kiểm định chương trình giảng dạy phòng ngừa 8 nội dung Khung CT rút ra từ các phát hiện cơ chế này, lý tưởng nhất với mô hình OurFutures Mental Health Úc được điều chỉnh cho bối cảnh Việt Nam.</w:t>
      </w:r>
    </w:p>
    <w:p>
      <w:r>
        <w:br w:type="page"/>
      </w:r>
    </w:p>
    <w:p>
      <w:pPr>
        <w:spacing w:before="280" w:after="60"/>
      </w:pPr>
      <w:r>
        <w:rPr>
          <w:rFonts w:ascii="Times New Roman" w:hAnsi="Times New Roman"/>
          <w:b/>
          <w:color w:val="2E74B5"/>
          <w:sz w:val="26"/>
        </w:rPr>
        <w:t>5. REFERENCES (selected verified citations)</w:t>
      </w:r>
    </w:p>
    <w:p>
      <w:pPr>
        <w:spacing w:after="120"/>
      </w:pPr>
      <w:r>
        <w:rPr>
          <w:rFonts w:ascii="Times New Roman" w:hAnsi="Times New Roman"/>
          <w:b/>
          <w:i/>
          <w:color w:val="2E74B5"/>
          <w:sz w:val="24"/>
        </w:rPr>
        <w:t>5. TÀI LIỆU THAM KHẢO (trích dẫn đã verify)</w:t>
      </w:r>
    </w:p>
    <w:p>
      <w:pPr>
        <w:spacing w:after="80"/>
        <w:ind w:left="283" w:hanging="283"/>
      </w:pPr>
      <w:r>
        <w:rPr>
          <w:rFonts w:ascii="Times New Roman" w:hAnsi="Times New Roman"/>
          <w:sz w:val="22"/>
        </w:rPr>
        <w:t>Allen, J. P., Porter, M., McFarland, C., et al. (2013). The two faces of adolescents' success with peers: Adolescent popularity, social adaptation, and deviant behavior.</w:t>
      </w:r>
    </w:p>
    <w:p>
      <w:pPr>
        <w:spacing w:after="80"/>
        <w:ind w:left="283" w:hanging="283"/>
      </w:pPr>
      <w:r>
        <w:rPr>
          <w:rFonts w:ascii="Times New Roman" w:hAnsi="Times New Roman"/>
          <w:sz w:val="22"/>
        </w:rPr>
        <w:t>Anderson, E. M., et al. (2025). Narrative review of adolescent anxiety in low- and middle-income contexts.</w:t>
      </w:r>
    </w:p>
    <w:p>
      <w:pPr>
        <w:spacing w:after="80"/>
        <w:ind w:left="283" w:hanging="283"/>
      </w:pPr>
      <w:r>
        <w:rPr>
          <w:rFonts w:ascii="Times New Roman" w:hAnsi="Times New Roman"/>
          <w:sz w:val="22"/>
        </w:rPr>
        <w:t>Braun, V., &amp; Clarke, V. (2006). Using thematic analysis in psychology. Qualitative Research in Psychology, 3(2), 77–101.</w:t>
      </w:r>
    </w:p>
    <w:p>
      <w:pPr>
        <w:spacing w:after="80"/>
        <w:ind w:left="283" w:hanging="283"/>
      </w:pPr>
      <w:r>
        <w:rPr>
          <w:rFonts w:ascii="Times New Roman" w:hAnsi="Times New Roman"/>
          <w:sz w:val="22"/>
        </w:rPr>
        <w:t>Cheung, G. W., &amp; Rensvold, R. B. (2002). Evaluating goodness-of-fit indexes for testing measurement invariance.</w:t>
      </w:r>
    </w:p>
    <w:p>
      <w:pPr>
        <w:spacing w:after="80"/>
        <w:ind w:left="283" w:hanging="283"/>
      </w:pPr>
      <w:r>
        <w:rPr>
          <w:rFonts w:ascii="Times New Roman" w:hAnsi="Times New Roman"/>
          <w:sz w:val="22"/>
        </w:rPr>
        <w:t>Chen, Z., Ren, S., He, R., et al. (2023). Prevalence and associated factors of depressive and anxiety symptoms among Chinese secondary school students. BMC Psychiatry, 23(1), 580.</w:t>
      </w:r>
    </w:p>
    <w:p>
      <w:pPr>
        <w:spacing w:after="80"/>
        <w:ind w:left="283" w:hanging="283"/>
      </w:pPr>
      <w:r>
        <w:rPr>
          <w:rFonts w:ascii="Times New Roman" w:hAnsi="Times New Roman"/>
          <w:sz w:val="22"/>
        </w:rPr>
        <w:t>Chorpita, B. F. (2000). RCADS: Revised Children's Anxiety and Depression Scale.</w:t>
      </w:r>
    </w:p>
    <w:p>
      <w:pPr>
        <w:spacing w:after="80"/>
        <w:ind w:left="283" w:hanging="283"/>
      </w:pPr>
      <w:r>
        <w:rPr>
          <w:rFonts w:ascii="Times New Roman" w:hAnsi="Times New Roman"/>
          <w:sz w:val="22"/>
        </w:rPr>
        <w:t>Compas, B. E., Jaser, S. S., Bettis, A. H., et al. (2017). Coping, emotion regulation, and psychopathology in childhood and adolescence: A meta-analysis and narrative review. Psychological Bulletin, 143(9), 939–991.</w:t>
      </w:r>
    </w:p>
    <w:p>
      <w:pPr>
        <w:spacing w:after="80"/>
        <w:ind w:left="283" w:hanging="283"/>
      </w:pPr>
      <w:r>
        <w:rPr>
          <w:rFonts w:ascii="Times New Roman" w:hAnsi="Times New Roman"/>
          <w:sz w:val="22"/>
        </w:rPr>
        <w:t>Creswell, J. W., &amp; Plano Clark, V. L. (2018). Designing and conducting mixed methods research (3rd ed.).</w:t>
      </w:r>
    </w:p>
    <w:p>
      <w:pPr>
        <w:spacing w:after="80"/>
        <w:ind w:left="283" w:hanging="283"/>
      </w:pPr>
      <w:r>
        <w:rPr>
          <w:rFonts w:ascii="Times New Roman" w:hAnsi="Times New Roman"/>
          <w:sz w:val="22"/>
        </w:rPr>
        <w:t>Goodenow, C. (1993). PSSM: Psychological Sense of School Membership.</w:t>
      </w:r>
    </w:p>
    <w:p>
      <w:pPr>
        <w:spacing w:after="80"/>
        <w:ind w:left="283" w:hanging="283"/>
      </w:pPr>
      <w:r>
        <w:rPr>
          <w:rFonts w:ascii="Times New Roman" w:hAnsi="Times New Roman"/>
          <w:sz w:val="22"/>
        </w:rPr>
        <w:t>Grummitt, L., O'Dean, S., Birrell, L., et al. (2025). Efficacy of a school-based, universal prevention programme for depression and anxiety in adolescents (OurFutures Mental Health). eClinicalMedicine.</w:t>
      </w:r>
    </w:p>
    <w:p>
      <w:pPr>
        <w:spacing w:after="80"/>
        <w:ind w:left="283" w:hanging="283"/>
      </w:pPr>
      <w:r>
        <w:rPr>
          <w:rFonts w:ascii="Times New Roman" w:hAnsi="Times New Roman"/>
          <w:sz w:val="22"/>
        </w:rPr>
        <w:t>Hoang Trung Hoc. (2025). Tỷ lệ rối loạn lo âu ở học sinh Việt Nam (N = 8.389 analytic).</w:t>
      </w:r>
    </w:p>
    <w:p>
      <w:pPr>
        <w:spacing w:after="80"/>
        <w:ind w:left="283" w:hanging="283"/>
      </w:pPr>
      <w:r>
        <w:rPr>
          <w:rFonts w:ascii="Times New Roman" w:hAnsi="Times New Roman"/>
          <w:sz w:val="22"/>
        </w:rPr>
        <w:t>GBD ASEAN. (2025). Burden of mental disorders in ASEAN children and adolescents: Global Burden of Disease analysis 1990–2021. Lancet Regional Health – Western Pacific.</w:t>
      </w:r>
    </w:p>
    <w:p>
      <w:pPr>
        <w:spacing w:after="80"/>
        <w:ind w:left="283" w:hanging="283"/>
      </w:pPr>
      <w:r>
        <w:rPr>
          <w:rFonts w:ascii="Times New Roman" w:hAnsi="Times New Roman"/>
          <w:sz w:val="22"/>
        </w:rPr>
        <w:t>Hu, L., &amp; Bentler, P. M. (1999). Cutoff criteria for fit indexes in covariance structure analysis.</w:t>
      </w:r>
    </w:p>
    <w:p>
      <w:pPr>
        <w:spacing w:after="80"/>
        <w:ind w:left="283" w:hanging="283"/>
      </w:pPr>
      <w:r>
        <w:rPr>
          <w:rFonts w:ascii="Times New Roman" w:hAnsi="Times New Roman"/>
          <w:sz w:val="22"/>
        </w:rPr>
        <w:t>Kieling, C., Buchweitz, C., Caye, A., et al. (2024). Worldwide prevalence and disability from mental disorders across childhood and adolescence: Evidence from the Global Burden of Disease Study. JAMA Psychiatry, 81(4), 347–356.</w:t>
      </w:r>
    </w:p>
    <w:p>
      <w:pPr>
        <w:spacing w:after="80"/>
        <w:ind w:left="283" w:hanging="283"/>
      </w:pPr>
      <w:r>
        <w:rPr>
          <w:rFonts w:ascii="Times New Roman" w:hAnsi="Times New Roman"/>
          <w:sz w:val="22"/>
        </w:rPr>
        <w:t>Kwon, M., Lee, J. Y., Won, W. Y., et al. (2013). SAS-SV: Smartphone Addiction Scale–Short Version.</w:t>
      </w:r>
    </w:p>
    <w:p>
      <w:pPr>
        <w:spacing w:after="80"/>
        <w:ind w:left="283" w:hanging="283"/>
      </w:pPr>
      <w:r>
        <w:rPr>
          <w:rFonts w:ascii="Times New Roman" w:hAnsi="Times New Roman"/>
          <w:sz w:val="22"/>
        </w:rPr>
        <w:t>Lazarus, R. S., &amp; Folkman, S. (1984). Stress, appraisal, and coping.</w:t>
      </w:r>
    </w:p>
    <w:p>
      <w:pPr>
        <w:spacing w:after="80"/>
        <w:ind w:left="283" w:hanging="283"/>
      </w:pPr>
      <w:r>
        <w:rPr>
          <w:rFonts w:ascii="Times New Roman" w:hAnsi="Times New Roman"/>
          <w:sz w:val="22"/>
        </w:rPr>
        <w:t>Markus, H. R., &amp; Kitayama, S. (1991). Culture and the self: Implications for cognition, emotion, and motivation.</w:t>
      </w:r>
    </w:p>
    <w:p>
      <w:pPr>
        <w:spacing w:after="80"/>
        <w:ind w:left="283" w:hanging="283"/>
      </w:pPr>
      <w:r>
        <w:rPr>
          <w:rFonts w:ascii="Times New Roman" w:hAnsi="Times New Roman"/>
          <w:sz w:val="22"/>
        </w:rPr>
        <w:t>McLean, C. P., et al. (2011). Gender differences in anxiety disorders: Prevalence, course of illness, comorbidity and burden of illness.</w:t>
      </w:r>
    </w:p>
    <w:p>
      <w:pPr>
        <w:spacing w:after="80"/>
        <w:ind w:left="283" w:hanging="283"/>
      </w:pPr>
      <w:r>
        <w:rPr>
          <w:rFonts w:ascii="Times New Roman" w:hAnsi="Times New Roman"/>
          <w:sz w:val="22"/>
        </w:rPr>
        <w:t>Niwenahisemo, L. C., Su, H., &amp; Kuang, L. (2024). Assessing anxiety symptom severity in Rwandese adolescents: Cross-gender measurement invariance of GAD-7. Frontiers in Psychiatry.</w:t>
      </w:r>
    </w:p>
    <w:p>
      <w:pPr>
        <w:spacing w:after="80"/>
        <w:ind w:left="283" w:hanging="283"/>
      </w:pPr>
      <w:r>
        <w:rPr>
          <w:rFonts w:ascii="Times New Roman" w:hAnsi="Times New Roman"/>
          <w:sz w:val="22"/>
        </w:rPr>
        <w:t>Olweus, D. (1996). OBVQ: Bully/Victim Questionnaire.</w:t>
      </w:r>
    </w:p>
    <w:p>
      <w:pPr>
        <w:spacing w:after="80"/>
        <w:ind w:left="283" w:hanging="283"/>
      </w:pPr>
      <w:r>
        <w:rPr>
          <w:rFonts w:ascii="Times New Roman" w:hAnsi="Times New Roman"/>
          <w:sz w:val="22"/>
        </w:rPr>
        <w:t>Pascoe, M. C., et al. (2020). The impact of stress on students in secondary school and higher education.</w:t>
      </w:r>
    </w:p>
    <w:p>
      <w:pPr>
        <w:spacing w:after="80"/>
        <w:ind w:left="283" w:hanging="283"/>
      </w:pPr>
      <w:r>
        <w:rPr>
          <w:rFonts w:ascii="Times New Roman" w:hAnsi="Times New Roman"/>
          <w:sz w:val="22"/>
        </w:rPr>
        <w:t>Robson, E. M., Husin, H. M., Dashti, S. G., et al. (2025). Tracking the course of depressive and anxiety symptoms across adolescence (the CATS study). Lancet Psychiatry, 12, 44–53.</w:t>
      </w:r>
    </w:p>
    <w:p>
      <w:pPr>
        <w:spacing w:after="80"/>
        <w:ind w:left="283" w:hanging="283"/>
      </w:pPr>
      <w:r>
        <w:rPr>
          <w:rFonts w:ascii="Times New Roman" w:hAnsi="Times New Roman"/>
          <w:sz w:val="22"/>
        </w:rPr>
        <w:t>Rosenberg, M. (1965). Rosenberg Self-Esteem Scale.</w:t>
      </w:r>
    </w:p>
    <w:p>
      <w:pPr>
        <w:spacing w:after="80"/>
        <w:ind w:left="283" w:hanging="283"/>
      </w:pPr>
      <w:r>
        <w:rPr>
          <w:rFonts w:ascii="Times New Roman" w:hAnsi="Times New Roman"/>
          <w:sz w:val="22"/>
        </w:rPr>
        <w:t>Saikia, S., et al. (2023). Prevalence and correlates of anxiety in Northeast Indian adolescents. Indian Journal of Community Medicine.</w:t>
      </w:r>
    </w:p>
    <w:p>
      <w:pPr>
        <w:spacing w:after="80"/>
        <w:ind w:left="283" w:hanging="283"/>
      </w:pPr>
      <w:r>
        <w:rPr>
          <w:rFonts w:ascii="Times New Roman" w:hAnsi="Times New Roman"/>
          <w:sz w:val="22"/>
        </w:rPr>
        <w:t>Steare, T., et al. (2023). The association between academic pressure and adolescent mental health: A systematic review.</w:t>
      </w:r>
    </w:p>
    <w:p>
      <w:pPr>
        <w:spacing w:after="80"/>
        <w:ind w:left="283" w:hanging="283"/>
      </w:pPr>
      <w:r>
        <w:rPr>
          <w:rFonts w:ascii="Times New Roman" w:hAnsi="Times New Roman"/>
          <w:sz w:val="22"/>
        </w:rPr>
        <w:t>Sun, J., Dunne, M. P., Hou, X. Y., &amp; Xu, A. (2011). ESSA: Educational Stress Scale for Adolescents.</w:t>
      </w:r>
    </w:p>
    <w:p>
      <w:pPr>
        <w:spacing w:after="80"/>
        <w:ind w:left="283" w:hanging="283"/>
      </w:pPr>
      <w:r>
        <w:rPr>
          <w:rFonts w:ascii="Times New Roman" w:hAnsi="Times New Roman"/>
          <w:sz w:val="22"/>
        </w:rPr>
        <w:t>Triandis, H. C. (1995). Individualism and collectivism.</w:t>
      </w:r>
    </w:p>
    <w:p>
      <w:pPr>
        <w:spacing w:after="80"/>
        <w:ind w:left="283" w:hanging="283"/>
      </w:pPr>
      <w:r>
        <w:rPr>
          <w:rFonts w:ascii="Times New Roman" w:hAnsi="Times New Roman"/>
          <w:sz w:val="22"/>
        </w:rPr>
        <w:t>V-NAMHS. (2022). Vietnam Adolescent Mental Health Survey main report.</w:t>
      </w:r>
    </w:p>
    <w:p>
      <w:pPr>
        <w:spacing w:after="80"/>
        <w:ind w:left="283" w:hanging="283"/>
      </w:pPr>
      <w:r>
        <w:rPr>
          <w:rFonts w:ascii="Times New Roman" w:hAnsi="Times New Roman"/>
          <w:sz w:val="22"/>
        </w:rPr>
        <w:t>Wen, F., et al. (2020). Mental health among Chinese rural adolescents.</w:t>
      </w:r>
    </w:p>
    <w:p>
      <w:pPr>
        <w:spacing w:after="80"/>
        <w:ind w:left="283" w:hanging="283"/>
      </w:pPr>
      <w:r>
        <w:rPr>
          <w:rFonts w:ascii="Times New Roman" w:hAnsi="Times New Roman"/>
          <w:sz w:val="22"/>
        </w:rPr>
        <w:t>Xu, J., et al. (2021). Prevalence of mental disorders among Chinese adolescents (N = 373,216).</w:t>
      </w:r>
    </w:p>
    <w:p>
      <w:pPr>
        <w:spacing w:after="80"/>
        <w:ind w:left="283" w:hanging="283"/>
      </w:pPr>
      <w:r>
        <w:rPr>
          <w:rFonts w:ascii="Times New Roman" w:hAnsi="Times New Roman"/>
          <w:sz w:val="22"/>
        </w:rPr>
        <w:t>Zimet, G. D., et al. (1988). MSPSS: Multidimensional Scale of Perceived Social Support.</w:t>
      </w:r>
    </w:p>
    <w:p>
      <w:pPr>
        <w:spacing w:before="280" w:after="60"/>
      </w:pPr>
      <w:r>
        <w:rPr>
          <w:rFonts w:ascii="Times New Roman" w:hAnsi="Times New Roman"/>
          <w:b/>
          <w:color w:val="2E74B5"/>
          <w:sz w:val="26"/>
        </w:rPr>
        <w:t>NOTES TO CO-AUTHORS — 4 BLOCKING ITEMS</w:t>
      </w:r>
    </w:p>
    <w:p>
      <w:pPr>
        <w:spacing w:after="120"/>
      </w:pPr>
      <w:r>
        <w:rPr>
          <w:rFonts w:ascii="Times New Roman" w:hAnsi="Times New Roman"/>
          <w:b/>
          <w:i/>
          <w:color w:val="2E74B5"/>
          <w:sz w:val="24"/>
        </w:rPr>
        <w:t>GHI CHÚ CHO ĐỒNG TÁC GIẢ — 4 MỤC CHỜ QUYẾT</w:t>
      </w:r>
    </w:p>
    <w:p>
      <w:pPr>
        <w:spacing w:after="120"/>
        <w:ind w:left="283"/>
      </w:pPr>
      <w:r>
        <w:rPr>
          <w:rFonts w:ascii="Times New Roman" w:hAnsi="Times New Roman"/>
          <w:b/>
          <w:color w:val="C00000"/>
          <w:sz w:val="22"/>
        </w:rPr>
        <w:t>⚠ [TBD — Q1-6 — Mixed-methods qualitative data (NCS): n participants, purposive sampling strategy, transcripts ready, intercoder Cohen κ]</w:t>
      </w:r>
    </w:p>
    <w:p>
      <w:pPr>
        <w:spacing w:after="120"/>
        <w:ind w:left="283"/>
      </w:pPr>
      <w:r>
        <w:rPr>
          <w:rFonts w:ascii="Times New Roman" w:hAnsi="Times New Roman"/>
          <w:b/>
          <w:i/>
          <w:color w:val="C00000"/>
          <w:sz w:val="22"/>
        </w:rPr>
        <w:t>⚠ [Chờ — Q1-6 — Dữ liệu định tính hỗn hợp (NCS): n người tham gia, chiến lược chọn mẫu có chủ đích, bản gỡ băng, Cohen κ]</w:t>
      </w:r>
    </w:p>
    <w:p>
      <w:pPr>
        <w:spacing w:after="120"/>
        <w:ind w:left="283"/>
      </w:pPr>
      <w:r>
        <w:rPr>
          <w:rFonts w:ascii="Times New Roman" w:hAnsi="Times New Roman"/>
          <w:b/>
          <w:color w:val="C00000"/>
          <w:sz w:val="22"/>
        </w:rPr>
        <w:t>⚠ [TBD — Q1-8 — Integrated SEM R² interpretation: present draft uses LA Bảng 47 composite R² = 0.598 (YTNC + YTBV → RLLA). Confirm if acceptable OR re-analyse 7×3 integrated SEM]</w:t>
      </w:r>
    </w:p>
    <w:p>
      <w:pPr>
        <w:spacing w:after="120"/>
        <w:ind w:left="283"/>
      </w:pPr>
      <w:r>
        <w:rPr>
          <w:rFonts w:ascii="Times New Roman" w:hAnsi="Times New Roman"/>
          <w:b/>
          <w:i/>
          <w:color w:val="C00000"/>
          <w:sz w:val="22"/>
        </w:rPr>
        <w:t>⚠ [Chờ — Q1-8 — Diễn giải R² SEM tích hợp: bản nháp hiện tại dùng R² tổng hợp = 0,598 (YTNC + YTBV → RLLA) từ LA Bảng 47. Xác nhận chấp nhận HOẶC tái phân tích SEM tích hợp 7×3]</w:t>
      </w:r>
    </w:p>
    <w:p>
      <w:pPr>
        <w:spacing w:after="120"/>
        <w:ind w:left="283"/>
      </w:pPr>
      <w:r>
        <w:rPr>
          <w:rFonts w:ascii="Times New Roman" w:hAnsi="Times New Roman"/>
          <w:b/>
          <w:color w:val="C00000"/>
          <w:sz w:val="22"/>
        </w:rPr>
        <w:t>⚠ [TBD — Q3-6 — IRB approval letter HNUE: decision number + date]</w:t>
      </w:r>
    </w:p>
    <w:p>
      <w:pPr>
        <w:spacing w:after="120"/>
        <w:ind w:left="283"/>
      </w:pPr>
      <w:r>
        <w:rPr>
          <w:rFonts w:ascii="Times New Roman" w:hAnsi="Times New Roman"/>
          <w:b/>
          <w:i/>
          <w:color w:val="C00000"/>
          <w:sz w:val="22"/>
        </w:rPr>
        <w:t>⚠ [Chờ — Q3-6 — Letter chấp thuận đạo đức HNUE: số quyết định + ngày]</w:t>
      </w:r>
    </w:p>
    <w:p>
      <w:pPr>
        <w:spacing w:after="120"/>
        <w:ind w:left="283"/>
      </w:pPr>
      <w:r>
        <w:rPr>
          <w:rFonts w:ascii="Times New Roman" w:hAnsi="Times New Roman"/>
          <w:b/>
          <w:color w:val="C00000"/>
          <w:sz w:val="22"/>
        </w:rPr>
        <w:t>⚠ [TBD — Q3-9 — Submission strategy Q1↔Q3: sequential (8-12 months) or parallel "companion paper"]</w:t>
      </w:r>
    </w:p>
    <w:p>
      <w:pPr>
        <w:spacing w:after="120"/>
        <w:ind w:left="283"/>
      </w:pPr>
      <w:r>
        <w:rPr>
          <w:rFonts w:ascii="Times New Roman" w:hAnsi="Times New Roman"/>
          <w:b/>
          <w:i/>
          <w:color w:val="C00000"/>
          <w:sz w:val="22"/>
        </w:rPr>
        <w:t>⚠ [Chờ — Q3-9 — Chiến lược submit Q1↔Q3: tuần tự (8-12 tháng) hay song song "companion paper"]</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