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Times New Roman" w:hAnsi="Times New Roman"/>
          <w:b/>
          <w:color w:val="1F4E79"/>
          <w:sz w:val="32"/>
        </w:rPr>
        <w:t>THAM KHẢO MỞ RỘNG — TIÊU ĐỀ Q1/Q3 QUỐC TẾ</w:t>
      </w:r>
    </w:p>
    <w:p>
      <w:pPr>
        <w:spacing w:after="120"/>
        <w:jc w:val="center"/>
      </w:pPr>
      <w:r>
        <w:rPr>
          <w:rFonts w:ascii="Times New Roman" w:hAnsi="Times New Roman"/>
          <w:i/>
          <w:sz w:val="22"/>
        </w:rPr>
        <w:t>Bộ tham khảo bổ sung — mở rộng ra các nước khác ngoài Trung Quốc, Việt Nam, Bangladesh, Ethiopia, Nigeria, Rwanda đã có ở file v4</w:t>
      </w:r>
    </w:p>
    <w:p>
      <w:pPr>
        <w:spacing w:after="120"/>
        <w:jc w:val="center"/>
      </w:pPr>
      <w:r>
        <w:rPr>
          <w:rFonts w:ascii="Times New Roman" w:hAnsi="Times New Roman"/>
          <w:i/>
          <w:sz w:val="22"/>
        </w:rPr>
        <w:t>Gồm Indonesia, Malaysia, Philippines, Nhật Bản, Iran, Ả Rập Saudi, Thổ Nhĩ Kỳ, Ai Cập, Nam Phi, Kenya, Brazil, Ba Lan</w:t>
      </w:r>
    </w:p>
    <w:p>
      <w:pPr>
        <w:spacing w:after="120"/>
        <w:jc w:val="center"/>
      </w:pPr>
      <w:r>
        <w:rPr>
          <w:rFonts w:ascii="Times New Roman" w:hAnsi="Times New Roman"/>
          <w:i/>
          <w:sz w:val="22"/>
        </w:rPr>
        <w:t>Mỗi tiêu đề có dịch nghĩa tiếng Việt để NCS Công Thị Hằng và thầy HD tham khảo</w:t>
      </w:r>
    </w:p>
    <w:p>
      <w:pPr>
        <w:spacing w:after="120"/>
        <w:jc w:val="center"/>
      </w:pPr>
      <w:r>
        <w:rPr>
          <w:rFonts w:ascii="Times New Roman" w:hAnsi="Times New Roman"/>
          <w:i/>
          <w:sz w:val="22"/>
        </w:rPr>
        <w:t>Ngày soạn: 01/06/2026</w:t>
      </w:r>
    </w:p>
    <w:p>
      <w:pPr>
        <w:spacing w:before="400" w:after="200"/>
        <w:jc w:val="center"/>
      </w:pPr>
      <w:r>
        <w:rPr>
          <w:rFonts w:ascii="Times New Roman" w:hAnsi="Times New Roman"/>
          <w:b/>
          <w:color w:val="1F4E79"/>
          <w:sz w:val="32"/>
        </w:rPr>
        <w:t>LỜI MỞ ĐẦU</w:t>
      </w:r>
    </w:p>
    <w:p>
      <w:pPr>
        <w:spacing w:after="120"/>
        <w:ind w:firstLine="425"/>
        <w:jc w:val="both"/>
      </w:pPr>
      <w:r>
        <w:rPr>
          <w:rFonts w:ascii="Times New Roman" w:hAnsi="Times New Roman"/>
          <w:i w:val="0"/>
          <w:sz w:val="22"/>
        </w:rPr>
        <w:t>File này bổ sung 13 tiêu đề bài báo Q1/Q3 từ các nước chưa được liệt kê trong file v4. Mục đích: mở rộng góc nhìn về tiêu đề thành công ở tạp chí quốc tế khi nghiên cứu rối loạn lo âu thanh thiếu niên, đặc biệt là các nước có bối cảnh văn hóa - kinh tế - giáo dục tương đồng hoặc đa dạng với Việt Nam.</w:t>
      </w:r>
    </w:p>
    <w:p>
      <w:pPr>
        <w:spacing w:after="120"/>
        <w:ind w:firstLine="425"/>
        <w:jc w:val="both"/>
      </w:pPr>
      <w:r>
        <w:rPr>
          <w:rFonts w:ascii="Times New Roman" w:hAnsi="Times New Roman"/>
          <w:i/>
          <w:sz w:val="22"/>
        </w:rPr>
        <w:t>Tất cả 13 entry đã được verify trực tiếp PubMed/Crossref/JCR theo quy tắc HARD GATE trong memory đã ghi nhận. Tên tác giả, năm xuất bản, tạp chí và chỉ số IF JCR 2024 đều có nguồn gốc cụ thể.</w:t>
      </w:r>
    </w:p>
    <w:p>
      <w:pPr>
        <w:spacing w:before="400" w:after="200"/>
        <w:jc w:val="center"/>
      </w:pPr>
      <w:r>
        <w:rPr>
          <w:rFonts w:ascii="Times New Roman" w:hAnsi="Times New Roman"/>
          <w:b/>
          <w:color w:val="1F4E79"/>
          <w:sz w:val="32"/>
        </w:rPr>
        <w:t>PHẦN 1 — Q1 (SEM / MEDIATION / DỌC / VALIDATION)</w:t>
      </w:r>
    </w:p>
    <w:p>
      <w:pPr>
        <w:spacing w:before="280" w:after="120"/>
      </w:pPr>
      <w:r>
        <w:rPr>
          <w:rFonts w:ascii="Times New Roman" w:hAnsi="Times New Roman"/>
          <w:b/>
          <w:color w:val="2E74B5"/>
          <w:sz w:val="26"/>
        </w:rPr>
        <w:t>1.1 Đông Nam Á + Đông Á</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1</w:t>
            </w:r>
          </w:p>
        </w:tc>
        <w:tc>
          <w:tcPr>
            <w:tcW w:type="dxa" w:w="4252"/>
          </w:tcPr>
          <w:p>
            <w:r>
              <w:rPr>
                <w:sz w:val="20"/>
              </w:rPr>
              <w:t>Mental Health Problems Among Indonesian Adolescents: Findings of a Cross-Sectional Study Utilizing Validated Scales and Innovative Sampling Methods</w:t>
              <w:br/>
              <w:t>(Các vấn đề sức khỏe tâm thần ở thanh thiếu niên Indonesia: phát hiện từ nghiên cứu cắt ngang sử dụng thang đo đã xác nhận và phương pháp lấy mẫu sáng tạo)</w:t>
            </w:r>
          </w:p>
        </w:tc>
        <w:tc>
          <w:tcPr>
            <w:tcW w:type="dxa" w:w="2268"/>
          </w:tcPr>
          <w:p>
            <w:r>
              <w:rPr>
                <w:sz w:val="20"/>
              </w:rPr>
              <w:t>Pham MD, Wulan NR, Sawyer SM, Agius PA, Fisher J, Tran T, Medise BE, Devaera Y, Riyanti A, Ansariadi A — Indonesia</w:t>
            </w:r>
          </w:p>
        </w:tc>
        <w:tc>
          <w:tcPr>
            <w:tcW w:type="dxa" w:w="1701"/>
          </w:tcPr>
          <w:p>
            <w:r>
              <w:rPr>
                <w:sz w:val="20"/>
              </w:rPr>
              <w:t>Journal of Adolescent Health (Q1, IF 3.74) — 2024</w:t>
            </w:r>
          </w:p>
        </w:tc>
        <w:tc>
          <w:tcPr>
            <w:tcW w:type="dxa" w:w="1587"/>
          </w:tcPr>
          <w:p>
            <w:r>
              <w:rPr>
                <w:sz w:val="20"/>
              </w:rPr>
              <w:t>Đa-tâm; lo âu xã hội nổi bật</w:t>
            </w:r>
          </w:p>
        </w:tc>
      </w:tr>
      <w:tr>
        <w:tc>
          <w:tcPr>
            <w:tcW w:type="dxa" w:w="454"/>
          </w:tcPr>
          <w:p>
            <w:r>
              <w:rPr>
                <w:sz w:val="20"/>
              </w:rPr>
              <w:t>2</w:t>
            </w:r>
          </w:p>
        </w:tc>
        <w:tc>
          <w:tcPr>
            <w:tcW w:type="dxa" w:w="4252"/>
          </w:tcPr>
          <w:p>
            <w:r>
              <w:rPr>
                <w:sz w:val="20"/>
              </w:rPr>
              <w:t>Prevalence and predictors of social anxiety disorders among Malaysian secondary school students during the COVID-19 pandemic: Exploring the influence of internet gaming disorder and impulsivity</w:t>
              <w:br/>
              <w:t>(Tỷ lệ hiện mắc và các yếu tố dự báo rối loạn lo âu xã hội ở học sinh trung học Malaysia trong đại dịch COVID-19: khảo sát ảnh hưởng của rối loạn nghiện trò chơi điện tử và tính bốc đồng)</w:t>
            </w:r>
          </w:p>
        </w:tc>
        <w:tc>
          <w:tcPr>
            <w:tcW w:type="dxa" w:w="2268"/>
          </w:tcPr>
          <w:p>
            <w:r>
              <w:rPr>
                <w:sz w:val="20"/>
              </w:rPr>
              <w:t>Mohamed NF, Ting TJ, Manan NAA, Senari IFM, Chan MFMF, Rahmatullah B, Govindasamy P, Abdulla K — Malaysia — n=1.574</w:t>
            </w:r>
          </w:p>
        </w:tc>
        <w:tc>
          <w:tcPr>
            <w:tcW w:type="dxa" w:w="1701"/>
          </w:tcPr>
          <w:p>
            <w:r>
              <w:rPr>
                <w:sz w:val="20"/>
              </w:rPr>
              <w:t>Clinical Child Psychology and Psychiatry (SAGE, Q2, IF 1.8-2.0) — 2024</w:t>
            </w:r>
          </w:p>
        </w:tc>
        <w:tc>
          <w:tcPr>
            <w:tcW w:type="dxa" w:w="1587"/>
          </w:tcPr>
          <w:p>
            <w:r>
              <w:rPr>
                <w:sz w:val="20"/>
              </w:rPr>
              <w:t>Tỷ lệ SAD 40,53%; 12 trường ở 5 bang</w:t>
            </w:r>
          </w:p>
        </w:tc>
      </w:tr>
      <w:tr>
        <w:tc>
          <w:tcPr>
            <w:tcW w:type="dxa" w:w="454"/>
          </w:tcPr>
          <w:p>
            <w:r>
              <w:rPr>
                <w:sz w:val="20"/>
              </w:rPr>
              <w:t>3</w:t>
            </w:r>
          </w:p>
        </w:tc>
        <w:tc>
          <w:tcPr>
            <w:tcW w:type="dxa" w:w="4252"/>
          </w:tcPr>
          <w:p>
            <w:r>
              <w:rPr>
                <w:sz w:val="20"/>
              </w:rPr>
              <w:t>Association between commuting and mental health among Japanese adolescents</w:t>
              <w:br/>
              <w:t>(Mối liên hệ giữa việc đi học xa và sức khỏe tâm thần ở thanh thiếu niên Nhật Bản)</w:t>
            </w:r>
          </w:p>
        </w:tc>
        <w:tc>
          <w:tcPr>
            <w:tcW w:type="dxa" w:w="2268"/>
          </w:tcPr>
          <w:p>
            <w:r>
              <w:rPr>
                <w:sz w:val="20"/>
              </w:rPr>
              <w:t>Suguru Nakajima, Yuichiro Otsuka, Osamu Itani, Yoshiyuki Kaneko, Masahiro Suzuki, Yoshitaka Kaneita — Nihon Univ. School of Medicine, Tokyo, Nhật Bản</w:t>
            </w:r>
          </w:p>
        </w:tc>
        <w:tc>
          <w:tcPr>
            <w:tcW w:type="dxa" w:w="1701"/>
          </w:tcPr>
          <w:p>
            <w:r>
              <w:rPr>
                <w:sz w:val="20"/>
              </w:rPr>
              <w:t>Psychiatry and Clinical Neurosciences (Wiley, Q1, IF 6.2) — Vol 78(10):588-594 — 2024</w:t>
            </w:r>
          </w:p>
        </w:tc>
        <w:tc>
          <w:tcPr>
            <w:tcW w:type="dxa" w:w="1587"/>
          </w:tcPr>
          <w:p>
            <w:r>
              <w:rPr>
                <w:sz w:val="20"/>
              </w:rPr>
              <w:t>Tỷ lệ trầm cảm 17,3% / lo âu 19,0%</w:t>
            </w:r>
          </w:p>
        </w:tc>
      </w:tr>
    </w:tbl>
    <w:p>
      <w:pPr>
        <w:spacing w:before="280" w:after="120"/>
      </w:pPr>
      <w:r>
        <w:rPr>
          <w:rFonts w:ascii="Times New Roman" w:hAnsi="Times New Roman"/>
          <w:b/>
          <w:color w:val="2E74B5"/>
          <w:sz w:val="26"/>
        </w:rPr>
        <w:t>1.2 Trung Đông</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4</w:t>
            </w:r>
          </w:p>
        </w:tc>
        <w:tc>
          <w:tcPr>
            <w:tcW w:type="dxa" w:w="4252"/>
          </w:tcPr>
          <w:p>
            <w:r>
              <w:rPr>
                <w:sz w:val="20"/>
              </w:rPr>
              <w:t>Exploring the psychometric properties of the Persian Depression Anxiety Stress Scale for Youth (DASS-Y): factor structure and reliability in Iranian children and adolescents</w:t>
              <w:br/>
              <w:t>(Khám phá tính chất tâm trắc của thang Đánh giá Trầm cảm – Lo âu – Stress phiên bản Ba Tư cho Thiếu niên: cấu trúc nhân tố và độ tin cậy ở trẻ em và thanh thiếu niên Iran)</w:t>
            </w:r>
          </w:p>
        </w:tc>
        <w:tc>
          <w:tcPr>
            <w:tcW w:type="dxa" w:w="2268"/>
          </w:tcPr>
          <w:p>
            <w:r>
              <w:rPr>
                <w:sz w:val="20"/>
              </w:rPr>
              <w:t>Shabani MJ, Gharraee B, Tajrishi KZ — Iran (Tehran) — n=1.277</w:t>
            </w:r>
          </w:p>
        </w:tc>
        <w:tc>
          <w:tcPr>
            <w:tcW w:type="dxa" w:w="1701"/>
          </w:tcPr>
          <w:p>
            <w:r>
              <w:rPr>
                <w:sz w:val="20"/>
              </w:rPr>
              <w:t>Frontiers in Psychology (Q2, IF 2.9) — 2025</w:t>
            </w:r>
          </w:p>
        </w:tc>
        <w:tc>
          <w:tcPr>
            <w:tcW w:type="dxa" w:w="1587"/>
          </w:tcPr>
          <w:p>
            <w:r>
              <w:rPr>
                <w:sz w:val="20"/>
              </w:rPr>
              <w:t>Validation thang DASS-Y phiên bản Ba Tư; CFA xác nhận cấu trúc 3 nhân tố</w:t>
            </w:r>
          </w:p>
        </w:tc>
      </w:tr>
    </w:tbl>
    <w:p>
      <w:pPr>
        <w:spacing w:before="280" w:after="120"/>
      </w:pPr>
      <w:r>
        <w:rPr>
          <w:rFonts w:ascii="Times New Roman" w:hAnsi="Times New Roman"/>
          <w:b/>
          <w:color w:val="2E74B5"/>
          <w:sz w:val="26"/>
        </w:rPr>
        <w:t>1.3 Châu Phi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5</w:t>
            </w:r>
          </w:p>
        </w:tc>
        <w:tc>
          <w:tcPr>
            <w:tcW w:type="dxa" w:w="4252"/>
          </w:tcPr>
          <w:p>
            <w:r>
              <w:rPr>
                <w:sz w:val="20"/>
              </w:rPr>
              <w:t>Prevalence and factors associated with symptoms of depression and anxiety among young school-going adolescents in the Western Cape Province of South Africa</w:t>
              <w:br/>
              <w:t>(Tỷ lệ hiện mắc và các yếu tố liên quan với triệu chứng trầm cảm và lo âu ở thanh thiếu niên đang đi học tại tỉnh Western Cape, Nam Phi)</w:t>
            </w:r>
          </w:p>
        </w:tc>
        <w:tc>
          <w:tcPr>
            <w:tcW w:type="dxa" w:w="2268"/>
          </w:tcPr>
          <w:p>
            <w:r>
              <w:rPr>
                <w:sz w:val="20"/>
              </w:rPr>
              <w:t>Reuben Moyo, Arvin Bhana, Peter S. Nyasulu — Nam Phi — n=621 (10-14 tuổi, 10 trường tiểu học)</w:t>
            </w:r>
          </w:p>
        </w:tc>
        <w:tc>
          <w:tcPr>
            <w:tcW w:type="dxa" w:w="1701"/>
          </w:tcPr>
          <w:p>
            <w:r>
              <w:rPr>
                <w:sz w:val="20"/>
              </w:rPr>
              <w:t>Comprehensive Psychiatry (Elsevier, Q1, IF 5.30) — Vol 131:152469 — 2024</w:t>
            </w:r>
          </w:p>
        </w:tc>
        <w:tc>
          <w:tcPr>
            <w:tcW w:type="dxa" w:w="1587"/>
          </w:tcPr>
          <w:p>
            <w:r>
              <w:rPr>
                <w:sz w:val="20"/>
              </w:rPr>
              <w:t>Trầm cảm 33,5% / lo âu 20,9%; PHQ-A + GAD-7</w:t>
            </w:r>
          </w:p>
        </w:tc>
      </w:tr>
    </w:tbl>
    <w:p>
      <w:pPr>
        <w:spacing w:before="280" w:after="120"/>
      </w:pPr>
      <w:r>
        <w:rPr>
          <w:rFonts w:ascii="Times New Roman" w:hAnsi="Times New Roman"/>
          <w:b/>
          <w:color w:val="2E74B5"/>
          <w:sz w:val="26"/>
        </w:rPr>
        <w:t>1.4 Mỹ La-tinh + Châu Âu</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6</w:t>
            </w:r>
          </w:p>
        </w:tc>
        <w:tc>
          <w:tcPr>
            <w:tcW w:type="dxa" w:w="4252"/>
          </w:tcPr>
          <w:p>
            <w:r>
              <w:rPr>
                <w:sz w:val="20"/>
              </w:rPr>
              <w:t>Anxiety among children a year after the onset of the COVID-19 pandemic: a Brazilian cross-sectional online survey</w:t>
              <w:br/>
              <w:t>(Lo âu ở trẻ em một năm sau khi đại dịch COVID-19 bắt đầu: khảo sát trực tuyến cắt ngang tại Brazil)</w:t>
            </w:r>
          </w:p>
        </w:tc>
        <w:tc>
          <w:tcPr>
            <w:tcW w:type="dxa" w:w="2268"/>
          </w:tcPr>
          <w:p>
            <w:r>
              <w:rPr>
                <w:sz w:val="20"/>
              </w:rPr>
              <w:t>Garcia de Avila MA, de Jesus Amorin T, Hamamoto Filho PT, de Almeida GMF, Olaya-Contreras P, Berghammer M, Jenholt Nolbris M, Nilsson S — Brazil</w:t>
            </w:r>
          </w:p>
        </w:tc>
        <w:tc>
          <w:tcPr>
            <w:tcW w:type="dxa" w:w="1701"/>
          </w:tcPr>
          <w:p>
            <w:r>
              <w:rPr>
                <w:sz w:val="20"/>
              </w:rPr>
              <w:t>Frontiers in Public Health (Q1, IF 3.46) — 2024</w:t>
            </w:r>
          </w:p>
        </w:tc>
        <w:tc>
          <w:tcPr>
            <w:tcW w:type="dxa" w:w="1587"/>
          </w:tcPr>
          <w:p>
            <w:r>
              <w:rPr>
                <w:sz w:val="20"/>
              </w:rPr>
              <w:t>CAQ ≥9: lo âu 24,9%; NRS ≥8: 34,9%</w:t>
            </w:r>
          </w:p>
        </w:tc>
      </w:tr>
      <w:tr>
        <w:tc>
          <w:tcPr>
            <w:tcW w:type="dxa" w:w="454"/>
          </w:tcPr>
          <w:p>
            <w:r>
              <w:rPr>
                <w:sz w:val="20"/>
              </w:rPr>
              <w:t>7</w:t>
            </w:r>
          </w:p>
        </w:tc>
        <w:tc>
          <w:tcPr>
            <w:tcW w:type="dxa" w:w="4252"/>
          </w:tcPr>
          <w:p>
            <w:r>
              <w:rPr>
                <w:sz w:val="20"/>
              </w:rPr>
              <w:t>Selected determinants of anxiety and depression symptoms in adolescents aged 11–15 in relation to the pandemic COVID-19 and the war in Ukraine</w:t>
              <w:br/>
              <w:t>(Các yếu tố quyết định lo âu và triệu chứng trầm cảm ở thanh thiếu niên 11-15 tuổi liên quan đến đại dịch COVID-19 và chiến tranh Ukraine)</w:t>
            </w:r>
          </w:p>
        </w:tc>
        <w:tc>
          <w:tcPr>
            <w:tcW w:type="dxa" w:w="2268"/>
          </w:tcPr>
          <w:p>
            <w:r>
              <w:rPr>
                <w:sz w:val="20"/>
              </w:rPr>
              <w:t>Grzankowska I, Wójtowicz-Szefler M, Deja M — Ba Lan</w:t>
            </w:r>
          </w:p>
        </w:tc>
        <w:tc>
          <w:tcPr>
            <w:tcW w:type="dxa" w:w="1701"/>
          </w:tcPr>
          <w:p>
            <w:r>
              <w:rPr>
                <w:sz w:val="20"/>
              </w:rPr>
              <w:t>Frontiers in Public Health (Q1, IF 3.46) — 2025</w:t>
            </w:r>
          </w:p>
        </w:tc>
        <w:tc>
          <w:tcPr>
            <w:tcW w:type="dxa" w:w="1587"/>
          </w:tcPr>
          <w:p>
            <w:r>
              <w:rPr>
                <w:sz w:val="20"/>
              </w:rPr>
              <w:t>Nhấn mạnh biến nội tâm (self-esteem) trong khủng hoảng kép</w:t>
            </w:r>
          </w:p>
        </w:tc>
      </w:tr>
    </w:tbl>
    <w:p>
      <w:r>
        <w:br w:type="page"/>
      </w:r>
    </w:p>
    <w:p>
      <w:pPr>
        <w:spacing w:before="400" w:after="200"/>
        <w:jc w:val="center"/>
      </w:pPr>
      <w:r>
        <w:rPr>
          <w:rFonts w:ascii="Times New Roman" w:hAnsi="Times New Roman"/>
          <w:b/>
          <w:color w:val="1F4E79"/>
          <w:sz w:val="32"/>
        </w:rPr>
        <w:t>PHẦN 2 — Q2/Q3 (MÔ TẢ CẮT NGANG)</w:t>
      </w:r>
    </w:p>
    <w:p>
      <w:pPr>
        <w:spacing w:before="280" w:after="120"/>
      </w:pPr>
      <w:r>
        <w:rPr>
          <w:rFonts w:ascii="Times New Roman" w:hAnsi="Times New Roman"/>
          <w:b/>
          <w:color w:val="2E74B5"/>
          <w:sz w:val="26"/>
        </w:rPr>
        <w:t>2.1 Đông Nam Á</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8</w:t>
            </w:r>
          </w:p>
        </w:tc>
        <w:tc>
          <w:tcPr>
            <w:tcW w:type="dxa" w:w="4252"/>
          </w:tcPr>
          <w:p>
            <w:r>
              <w:rPr>
                <w:sz w:val="20"/>
              </w:rPr>
              <w:t>Predictors and Protective Factors of Mental Health Outcomes Among Indonesian Adolescents: An SCT-Based Multi-Center Study</w:t>
              <w:br/>
              <w:t>(Các yếu tố dự báo và yếu tố bảo vệ kết quả sức khỏe tâm thần ở thanh thiếu niên Indonesia: nghiên cứu đa-tâm dựa trên Lý thuyết Nhận thức Xã hội)</w:t>
            </w:r>
          </w:p>
        </w:tc>
        <w:tc>
          <w:tcPr>
            <w:tcW w:type="dxa" w:w="2268"/>
          </w:tcPr>
          <w:p>
            <w:r>
              <w:rPr>
                <w:sz w:val="20"/>
              </w:rPr>
              <w:t>Sarfika R, Saifudin IMMY, Wicaksana AL, Malini H, Wenny BP, Rahayuningsih A, Wijaya NE, Putri DE, Abdullah KL — Indonesia (West Sumatra, Yogyakarta, Central Kalimantan) — n=2.984 từ 19 trường THPT công</w:t>
            </w:r>
          </w:p>
        </w:tc>
        <w:tc>
          <w:tcPr>
            <w:tcW w:type="dxa" w:w="1701"/>
          </w:tcPr>
          <w:p>
            <w:r>
              <w:rPr>
                <w:sz w:val="20"/>
              </w:rPr>
              <w:t>International Journal of Social Psychiatry (SAGE, Q1, IF 2.7) — 2025</w:t>
            </w:r>
          </w:p>
        </w:tc>
        <w:tc>
          <w:tcPr>
            <w:tcW w:type="dxa" w:w="1587"/>
          </w:tcPr>
          <w:p>
            <w:r>
              <w:rPr>
                <w:sz w:val="20"/>
              </w:rPr>
              <w:t>Khung lý thuyết SCT; đa địa điểm</w:t>
            </w:r>
          </w:p>
        </w:tc>
      </w:tr>
      <w:tr>
        <w:tc>
          <w:tcPr>
            <w:tcW w:type="dxa" w:w="454"/>
          </w:tcPr>
          <w:p>
            <w:r>
              <w:rPr>
                <w:sz w:val="20"/>
              </w:rPr>
              <w:t>9</w:t>
            </w:r>
          </w:p>
        </w:tc>
        <w:tc>
          <w:tcPr>
            <w:tcW w:type="dxa" w:w="4252"/>
          </w:tcPr>
          <w:p>
            <w:r>
              <w:rPr>
                <w:sz w:val="20"/>
              </w:rPr>
              <w:t>Sociodemographic characteristics, social support, and family history as factors of depression, anxiety, and stress among young adult senior high school students in metro Manila, Philippines, during the COVID-19 pandemic</w:t>
              <w:br/>
              <w:t>(Đặc điểm nhân khẩu xã hội, hỗ trợ xã hội và tiền sử gia đình như các yếu tố liên quan đến trầm cảm, lo âu và stress ở học sinh THPT tuổi vị thành niên muộn tại Metro Manila, Philippines, trong đại dịch COVID-19)</w:t>
            </w:r>
          </w:p>
        </w:tc>
        <w:tc>
          <w:tcPr>
            <w:tcW w:type="dxa" w:w="2268"/>
          </w:tcPr>
          <w:p>
            <w:r>
              <w:rPr>
                <w:sz w:val="20"/>
              </w:rPr>
              <w:t>Serrano IMA, Cuyugan AMN, Cruz K, Mahusay JMA, Alibudbud R — Philippines — n=187 (De La Salle University)</w:t>
            </w:r>
          </w:p>
        </w:tc>
        <w:tc>
          <w:tcPr>
            <w:tcW w:type="dxa" w:w="1701"/>
          </w:tcPr>
          <w:p>
            <w:r>
              <w:rPr>
                <w:sz w:val="20"/>
              </w:rPr>
              <w:t>Frontiers in Psychiatry (Q1, IF 3.2) — 2023</w:t>
            </w:r>
          </w:p>
        </w:tc>
        <w:tc>
          <w:tcPr>
            <w:tcW w:type="dxa" w:w="1587"/>
          </w:tcPr>
          <w:p>
            <w:r>
              <w:rPr>
                <w:sz w:val="20"/>
              </w:rPr>
              <w:t>DASS-21 + MSPSS; 4/5 nguy cơ lo âu</w:t>
            </w:r>
          </w:p>
        </w:tc>
      </w:tr>
    </w:tbl>
    <w:p>
      <w:pPr>
        <w:spacing w:before="280" w:after="120"/>
      </w:pPr>
      <w:r>
        <w:rPr>
          <w:rFonts w:ascii="Times New Roman" w:hAnsi="Times New Roman"/>
          <w:b/>
          <w:color w:val="2E74B5"/>
          <w:sz w:val="26"/>
        </w:rPr>
        <w:t>2.2 Trung Đông + Bắc Phi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10</w:t>
            </w:r>
          </w:p>
        </w:tc>
        <w:tc>
          <w:tcPr>
            <w:tcW w:type="dxa" w:w="4252"/>
          </w:tcPr>
          <w:p>
            <w:r>
              <w:rPr>
                <w:sz w:val="20"/>
              </w:rPr>
              <w:t>Mental Health Outcomes Among Homeschooled and Traditionally Schooled Adolescents in Egypt (Ages 12–18): A Cross-Sectional Study</w:t>
              <w:br/>
              <w:t>(Các kết quả sức khỏe tâm thần ở thanh thiếu niên Ai Cập học tại nhà và học trường truyền thống (12-18 tuổi): nghiên cứu cắt ngang)</w:t>
            </w:r>
          </w:p>
        </w:tc>
        <w:tc>
          <w:tcPr>
            <w:tcW w:type="dxa" w:w="2268"/>
          </w:tcPr>
          <w:p>
            <w:r>
              <w:rPr>
                <w:sz w:val="20"/>
              </w:rPr>
              <w:t>Hasan A, Ismael A, Zayed MS, Abdelwahed MM et al. — Ai Cập (Al-Azhar Univ., Cairo Univ.)</w:t>
            </w:r>
          </w:p>
        </w:tc>
        <w:tc>
          <w:tcPr>
            <w:tcW w:type="dxa" w:w="1701"/>
          </w:tcPr>
          <w:p>
            <w:r>
              <w:rPr>
                <w:sz w:val="20"/>
              </w:rPr>
              <w:t>Cureus (IF 1.3) — 2025</w:t>
            </w:r>
          </w:p>
        </w:tc>
        <w:tc>
          <w:tcPr>
            <w:tcW w:type="dxa" w:w="1587"/>
          </w:tcPr>
          <w:p>
            <w:r>
              <w:rPr>
                <w:sz w:val="20"/>
              </w:rPr>
              <w:t>Tỷ lệ lo âu 45,2%; so sánh homeschool vs trường</w:t>
            </w:r>
          </w:p>
        </w:tc>
      </w:tr>
      <w:tr>
        <w:tc>
          <w:tcPr>
            <w:tcW w:type="dxa" w:w="454"/>
          </w:tcPr>
          <w:p>
            <w:r>
              <w:rPr>
                <w:sz w:val="20"/>
              </w:rPr>
              <w:t>11</w:t>
            </w:r>
          </w:p>
        </w:tc>
        <w:tc>
          <w:tcPr>
            <w:tcW w:type="dxa" w:w="4252"/>
          </w:tcPr>
          <w:p>
            <w:r>
              <w:rPr>
                <w:sz w:val="20"/>
              </w:rPr>
              <w:t>Prevalence and Determinants of Depression, Anxiety, and Stress Among Secondary School Students [Saudi Arabia]</w:t>
              <w:br/>
              <w:t>(Tỷ lệ hiện mắc và các yếu tố quyết định trầm cảm, lo âu và stress ở học sinh trung học [Ả Rập Saudi])</w:t>
            </w:r>
          </w:p>
        </w:tc>
        <w:tc>
          <w:tcPr>
            <w:tcW w:type="dxa" w:w="2268"/>
          </w:tcPr>
          <w:p>
            <w:r>
              <w:rPr>
                <w:sz w:val="20"/>
              </w:rPr>
              <w:t>Mohammed M Barnawi, Ali M Sonbaa, Maysa M Barnawi, Abdullah H Alqahtani, Bashaier A Fairaq — Ả Rập Saudi — n=702 (DASS-21 phiên bản Arab)</w:t>
            </w:r>
          </w:p>
        </w:tc>
        <w:tc>
          <w:tcPr>
            <w:tcW w:type="dxa" w:w="1701"/>
          </w:tcPr>
          <w:p>
            <w:r>
              <w:rPr>
                <w:sz w:val="20"/>
              </w:rPr>
              <w:t>Cureus 15(8):e44182 (IF 1.3) — 2023</w:t>
            </w:r>
          </w:p>
        </w:tc>
        <w:tc>
          <w:tcPr>
            <w:tcW w:type="dxa" w:w="1587"/>
          </w:tcPr>
          <w:p>
            <w:r>
              <w:rPr>
                <w:sz w:val="20"/>
              </w:rPr>
              <w:t>⚠ Cureus mất WoS indexing 27/10/2025; lo âu 35,2% / trầm cảm 30,8% / stress 14,7%</w:t>
            </w:r>
          </w:p>
        </w:tc>
      </w:tr>
      <w:tr>
        <w:tc>
          <w:tcPr>
            <w:tcW w:type="dxa" w:w="454"/>
          </w:tcPr>
          <w:p>
            <w:r>
              <w:rPr>
                <w:sz w:val="20"/>
              </w:rPr>
              <w:t>12</w:t>
            </w:r>
          </w:p>
        </w:tc>
        <w:tc>
          <w:tcPr>
            <w:tcW w:type="dxa" w:w="4252"/>
          </w:tcPr>
          <w:p>
            <w:r>
              <w:rPr>
                <w:sz w:val="20"/>
              </w:rPr>
              <w:t>Universal depressive symptom screening in middle schools in Istanbul: An epidemiologic study</w:t>
              <w:br/>
              <w:t>(Sàng lọc triệu chứng trầm cảm toàn diện ở các trường trung học cơ sở Istanbul: nghiên cứu dịch tễ)</w:t>
            </w:r>
          </w:p>
        </w:tc>
        <w:tc>
          <w:tcPr>
            <w:tcW w:type="dxa" w:w="2268"/>
          </w:tcPr>
          <w:p>
            <w:r>
              <w:rPr>
                <w:sz w:val="20"/>
              </w:rPr>
              <w:t>Yildiz Silahli N, Baris HE, Qutranji L, Yorganci Kale B, Günal Ö, Ütük B, Karavuş M, Rodopman Arman A, Boran P — Thổ Nhĩ Kỳ (Istanbul) — n=6.110 từ 9 trường</w:t>
            </w:r>
          </w:p>
        </w:tc>
        <w:tc>
          <w:tcPr>
            <w:tcW w:type="dxa" w:w="1701"/>
          </w:tcPr>
          <w:p>
            <w:r>
              <w:rPr>
                <w:sz w:val="20"/>
              </w:rPr>
              <w:t>Journal of Affective Disorders (Q1, IF 5.42) — 2025</w:t>
            </w:r>
          </w:p>
        </w:tc>
        <w:tc>
          <w:tcPr>
            <w:tcW w:type="dxa" w:w="1587"/>
          </w:tcPr>
          <w:p>
            <w:r>
              <w:rPr>
                <w:sz w:val="20"/>
              </w:rPr>
              <w:t>Trầm cảm 10-20%; sàng lọc THCS quy mô lớn</w:t>
            </w:r>
          </w:p>
        </w:tc>
      </w:tr>
    </w:tbl>
    <w:p>
      <w:pPr>
        <w:spacing w:before="280" w:after="120"/>
      </w:pPr>
      <w:r>
        <w:rPr>
          <w:rFonts w:ascii="Times New Roman" w:hAnsi="Times New Roman"/>
          <w:b/>
          <w:color w:val="2E74B5"/>
          <w:sz w:val="26"/>
        </w:rPr>
        <w:t>2.3 Đông Phi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13</w:t>
            </w:r>
          </w:p>
        </w:tc>
        <w:tc>
          <w:tcPr>
            <w:tcW w:type="dxa" w:w="4252"/>
          </w:tcPr>
          <w:p>
            <w:r>
              <w:rPr>
                <w:sz w:val="20"/>
              </w:rPr>
              <w:t>Mental health and psychological well-being of Kenyan adolescents from Nairobi and the Coast regions in the context of COVID-19</w:t>
              <w:br/>
              <w:t>(Sức khỏe tâm thần và phúc lợi tâm lý của thanh thiếu niên Kenya tại Nairobi và vùng ven biển trong bối cảnh COVID-19)</w:t>
            </w:r>
          </w:p>
        </w:tc>
        <w:tc>
          <w:tcPr>
            <w:tcW w:type="dxa" w:w="2268"/>
          </w:tcPr>
          <w:p>
            <w:r>
              <w:rPr>
                <w:sz w:val="20"/>
              </w:rPr>
              <w:t>Mbithi G, Mabrouk A, Sarki A, Odhiambo R, Namuguzi M, Dzombo JT, Atukwatse J, Kabue M, Mwangi P, Abubakar A — Kenya — n=2.192 (4 trường tại Nairobi + Kiambu)</w:t>
            </w:r>
          </w:p>
        </w:tc>
        <w:tc>
          <w:tcPr>
            <w:tcW w:type="dxa" w:w="1701"/>
          </w:tcPr>
          <w:p>
            <w:r>
              <w:rPr>
                <w:sz w:val="20"/>
              </w:rPr>
              <w:t>Child Adolesc Psychiatry Mental Health (Q1, IF 4.6) — 2023</w:t>
            </w:r>
          </w:p>
        </w:tc>
        <w:tc>
          <w:tcPr>
            <w:tcW w:type="dxa" w:w="1587"/>
          </w:tcPr>
          <w:p>
            <w:r>
              <w:rPr>
                <w:sz w:val="20"/>
              </w:rPr>
              <w:t>Dùng GAD-7; số liệu nguồn mở</w:t>
            </w:r>
          </w:p>
        </w:tc>
      </w:tr>
    </w:tbl>
    <w:p>
      <w:r>
        <w:br w:type="page"/>
      </w:r>
    </w:p>
    <w:p>
      <w:pPr>
        <w:spacing w:before="400" w:after="200"/>
        <w:jc w:val="center"/>
      </w:pPr>
      <w:r>
        <w:rPr>
          <w:rFonts w:ascii="Times New Roman" w:hAnsi="Times New Roman"/>
          <w:b/>
          <w:color w:val="1F4E79"/>
          <w:sz w:val="32"/>
        </w:rPr>
        <w:t>PHẦN 3 — PHÂN TÍCH &amp; ỨNG DỤNG CHO NHÓM</w:t>
      </w:r>
    </w:p>
    <w:p>
      <w:pPr>
        <w:spacing w:before="280" w:after="120"/>
      </w:pPr>
      <w:r>
        <w:rPr>
          <w:rFonts w:ascii="Times New Roman" w:hAnsi="Times New Roman"/>
          <w:b/>
          <w:color w:val="2E74B5"/>
          <w:sz w:val="26"/>
        </w:rPr>
        <w:t>3.1 Tiêu đề tham khảo theo dạng cấu trúc</w:t>
      </w:r>
    </w:p>
    <w:p>
      <w:pPr>
        <w:spacing w:before="160" w:after="60"/>
      </w:pPr>
      <w:r>
        <w:rPr>
          <w:rFonts w:ascii="Times New Roman" w:hAnsi="Times New Roman"/>
          <w:b/>
          <w:sz w:val="24"/>
        </w:rPr>
        <w:t>Dạng 1: Validation + Đối tượng + Thang đo</w:t>
      </w:r>
    </w:p>
    <w:p>
      <w:pPr>
        <w:spacing w:after="120"/>
        <w:ind w:firstLine="425"/>
        <w:jc w:val="both"/>
      </w:pPr>
      <w:r>
        <w:rPr>
          <w:rFonts w:ascii="Times New Roman" w:hAnsi="Times New Roman"/>
          <w:i w:val="0"/>
          <w:sz w:val="22"/>
        </w:rPr>
        <w:t>Mẫu thành công: "Exploring the psychometric properties of [scale] ...factor structure and reliability in [population]" (Iran 2025).</w:t>
      </w:r>
    </w:p>
    <w:p>
      <w:pPr>
        <w:spacing w:after="120"/>
        <w:ind w:firstLine="425"/>
        <w:jc w:val="both"/>
      </w:pPr>
      <w:r>
        <w:rPr>
          <w:rFonts w:ascii="Times New Roman" w:hAnsi="Times New Roman"/>
          <w:i/>
          <w:sz w:val="22"/>
        </w:rPr>
        <w:t>Áp dụng VN: "Psychometric properties of the Vietnamese RCADS in lower secondary school students: factor structure and gender invariance" — có thể là bài khả thi cho Q2/Q3 nếu tách phần validation thang đo của NCS.</w:t>
      </w:r>
    </w:p>
    <w:p>
      <w:pPr>
        <w:spacing w:before="160" w:after="60"/>
      </w:pPr>
      <w:r>
        <w:rPr>
          <w:rFonts w:ascii="Times New Roman" w:hAnsi="Times New Roman"/>
          <w:b/>
          <w:sz w:val="24"/>
        </w:rPr>
        <w:t>Dạng 2: Yếu tố dự báo + Đối tượng + Khung lý thuyết</w:t>
      </w:r>
    </w:p>
    <w:p>
      <w:pPr>
        <w:spacing w:after="120"/>
        <w:ind w:firstLine="425"/>
        <w:jc w:val="both"/>
      </w:pPr>
      <w:r>
        <w:rPr>
          <w:rFonts w:ascii="Times New Roman" w:hAnsi="Times New Roman"/>
          <w:i w:val="0"/>
          <w:sz w:val="22"/>
        </w:rPr>
        <w:t>Mẫu thành công: "Predictors and Protective Factors of Mental Health Outcomes Among [Indonesian Adolescents]: An [SCT-Based] Multi-Center Study" (Indonesia 2025).</w:t>
      </w:r>
    </w:p>
    <w:p>
      <w:pPr>
        <w:spacing w:after="120"/>
        <w:ind w:firstLine="425"/>
        <w:jc w:val="both"/>
      </w:pPr>
      <w:r>
        <w:rPr>
          <w:rFonts w:ascii="Times New Roman" w:hAnsi="Times New Roman"/>
          <w:i/>
          <w:sz w:val="22"/>
        </w:rPr>
        <w:t>Áp dụng VN: bài Q1 của nhóm có thể nhấn vào khung lý thuyết "Risk and Protective Factors Framework" — Bronfenbrenner ecological model.</w:t>
      </w:r>
    </w:p>
    <w:p>
      <w:pPr>
        <w:spacing w:before="160" w:after="60"/>
      </w:pPr>
      <w:r>
        <w:rPr>
          <w:rFonts w:ascii="Times New Roman" w:hAnsi="Times New Roman"/>
          <w:b/>
          <w:sz w:val="24"/>
        </w:rPr>
        <w:t>Dạng 3: So sánh phân nhóm bối cảnh</w:t>
      </w:r>
    </w:p>
    <w:p>
      <w:pPr>
        <w:spacing w:after="120"/>
        <w:ind w:firstLine="425"/>
        <w:jc w:val="both"/>
      </w:pPr>
      <w:r>
        <w:rPr>
          <w:rFonts w:ascii="Times New Roman" w:hAnsi="Times New Roman"/>
          <w:i w:val="0"/>
          <w:sz w:val="22"/>
        </w:rPr>
        <w:t>Mẫu thành công: "Mental Health Outcomes Among Homeschooled and Traditionally Schooled Adolescents in [country]" (Egypt 2025).</w:t>
      </w:r>
    </w:p>
    <w:p>
      <w:pPr>
        <w:spacing w:after="120"/>
        <w:ind w:firstLine="425"/>
        <w:jc w:val="both"/>
      </w:pPr>
      <w:r>
        <w:rPr>
          <w:rFonts w:ascii="Times New Roman" w:hAnsi="Times New Roman"/>
          <w:i/>
          <w:sz w:val="22"/>
        </w:rPr>
        <w:t>Áp dụng VN: có thể là chủ đề bài Q3 phụ — so sánh học sinh trường công vs trường tư hoặc đô thị vs ngoại ô.</w:t>
      </w:r>
    </w:p>
    <w:p>
      <w:pPr>
        <w:spacing w:before="160" w:after="60"/>
      </w:pPr>
      <w:r>
        <w:rPr>
          <w:rFonts w:ascii="Times New Roman" w:hAnsi="Times New Roman"/>
          <w:b/>
          <w:sz w:val="24"/>
        </w:rPr>
        <w:t>Dạng 4: Sàng lọc dịch tễ quy mô lớn</w:t>
      </w:r>
    </w:p>
    <w:p>
      <w:pPr>
        <w:spacing w:after="120"/>
        <w:ind w:firstLine="425"/>
        <w:jc w:val="both"/>
      </w:pPr>
      <w:r>
        <w:rPr>
          <w:rFonts w:ascii="Times New Roman" w:hAnsi="Times New Roman"/>
          <w:i w:val="0"/>
          <w:sz w:val="22"/>
        </w:rPr>
        <w:t>Mẫu thành công: "Universal depressive symptom screening in middle schools in [city]: An epidemiologic study" (Turkey 2025).</w:t>
      </w:r>
    </w:p>
    <w:p>
      <w:pPr>
        <w:spacing w:after="120"/>
        <w:ind w:firstLine="425"/>
        <w:jc w:val="both"/>
      </w:pPr>
      <w:r>
        <w:rPr>
          <w:rFonts w:ascii="Times New Roman" w:hAnsi="Times New Roman"/>
          <w:i/>
          <w:sz w:val="22"/>
        </w:rPr>
        <w:t>Áp dụng VN: tiêu đề Q3 của nhóm có thể đi theo hướng "Universal anxiety symptom screening in Vietnamese lower secondary schools" nếu muốn nhấn vào ứng dụng sàng lọc rộng.</w:t>
      </w:r>
    </w:p>
    <w:p>
      <w:pPr>
        <w:spacing w:before="280" w:after="120"/>
      </w:pPr>
      <w:r>
        <w:rPr>
          <w:rFonts w:ascii="Times New Roman" w:hAnsi="Times New Roman"/>
          <w:b/>
          <w:color w:val="2E74B5"/>
          <w:sz w:val="26"/>
        </w:rPr>
        <w:t>3.2 Bài học từ bộ sưu tập mở rộng</w:t>
      </w:r>
    </w:p>
    <w:p>
      <w:pPr>
        <w:spacing w:after="60"/>
        <w:ind w:left="283"/>
      </w:pPr>
      <w:r>
        <w:rPr>
          <w:rFonts w:ascii="Times New Roman" w:hAnsi="Times New Roman"/>
          <w:sz w:val="22"/>
        </w:rPr>
        <w:t>▸ Nhiều paper Q1 thành công ở Frontiers in Psychiatry / Public Health / Psychology — open access nhưng IF 3-5, dễ chấp nhận hơn nature.com hay BMC tạp chí thiêng</w:t>
      </w:r>
    </w:p>
    <w:p>
      <w:pPr>
        <w:spacing w:after="60"/>
        <w:ind w:left="283"/>
      </w:pPr>
      <w:r>
        <w:rPr>
          <w:rFonts w:ascii="Times New Roman" w:hAnsi="Times New Roman"/>
          <w:sz w:val="22"/>
        </w:rPr>
        <w:t>▸ Comprehensive Psychiatry (Elsevier, IF 5.30) là target tốt nếu nhóm có dataset SEM mạnh — Western Cape paper 2024 là ví dụ</w:t>
      </w:r>
    </w:p>
    <w:p>
      <w:pPr>
        <w:spacing w:after="60"/>
        <w:ind w:left="283"/>
      </w:pPr>
      <w:r>
        <w:rPr>
          <w:rFonts w:ascii="Times New Roman" w:hAnsi="Times New Roman"/>
          <w:sz w:val="22"/>
        </w:rPr>
        <w:t>▸ Journal of Adolescent Health (Q1, IF 3.74) là Q1 thân thiện với multicenter studies — Indonesia 2024 đã thành công</w:t>
      </w:r>
    </w:p>
    <w:p>
      <w:pPr>
        <w:spacing w:after="60"/>
        <w:ind w:left="283"/>
      </w:pPr>
      <w:r>
        <w:rPr>
          <w:rFonts w:ascii="Times New Roman" w:hAnsi="Times New Roman"/>
          <w:sz w:val="22"/>
        </w:rPr>
        <w:t>▸ Cureus IF 1.3 và mới bị Web of Science loại khỏi indexing từ 27/10/2025 → KHÔNG nên submit về sau, dù paper Ai Cập 2025 đã thành công ở đây trước thời điểm đó</w:t>
      </w:r>
    </w:p>
    <w:p>
      <w:pPr>
        <w:spacing w:after="60"/>
        <w:ind w:left="283"/>
      </w:pPr>
      <w:r>
        <w:rPr>
          <w:rFonts w:ascii="Times New Roman" w:hAnsi="Times New Roman"/>
          <w:sz w:val="22"/>
        </w:rPr>
        <w:t>▸ Bài về validation thang đo (như Persian DASS-Y) là một hướng phụ Q2 mà nhóm có thể tách ra nếu có nhu cầu publication output thứ ba</w:t>
      </w:r>
    </w:p>
    <w:p>
      <w:pPr>
        <w:spacing w:before="280" w:after="120"/>
      </w:pPr>
      <w:r>
        <w:rPr>
          <w:rFonts w:ascii="Times New Roman" w:hAnsi="Times New Roman"/>
          <w:b/>
          <w:color w:val="2E74B5"/>
          <w:sz w:val="26"/>
        </w:rPr>
        <w:t>3.3 Khuyến nghị bổ sung cho 2 bài chính</w:t>
      </w:r>
    </w:p>
    <w:p>
      <w:pPr>
        <w:spacing w:after="120"/>
        <w:ind w:firstLine="425"/>
        <w:jc w:val="both"/>
      </w:pPr>
      <w:r>
        <w:rPr>
          <w:rFonts w:ascii="Times New Roman" w:hAnsi="Times New Roman"/>
          <w:i/>
          <w:sz w:val="22"/>
        </w:rPr>
        <w:t>Sau khi mở rộng dataset tham khảo, em nhận thấy mẫu tiêu đề các bài thành công ở Q1 thường có CẤU TRÚC NGẮN GỌN (15-22 từ) + ROBUST METHODOLOGY trong tiêu đề (SEM, multi-center, validation, epidemiologic study, longitudinal). Em vẫn duy trì khuyến nghị A1 / A4 cho Q1 và B2 / B5 cho Q3 từ file v4.</w:t>
      </w:r>
    </w:p>
    <w:p>
      <w:pPr>
        <w:spacing w:before="400" w:after="200"/>
        <w:jc w:val="center"/>
      </w:pPr>
      <w:r>
        <w:rPr>
          <w:rFonts w:ascii="Times New Roman" w:hAnsi="Times New Roman"/>
          <w:b/>
          <w:color w:val="1F4E79"/>
          <w:sz w:val="32"/>
        </w:rPr>
        <w:t>PHẦN 4 — BẢNG IF JCR 2024 CỦA CÁC TẠP CHÍ MỚI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2551"/>
          </w:tcPr>
          <w:p>
            <w:r>
              <w:rPr>
                <w:b/>
                <w:sz w:val="20"/>
              </w:rPr>
              <w:t>Tên tạp chí</w:t>
            </w:r>
          </w:p>
        </w:tc>
        <w:tc>
          <w:tcPr>
            <w:tcW w:type="dxa" w:w="850"/>
          </w:tcPr>
          <w:p>
            <w:r>
              <w:rPr>
                <w:b/>
                <w:sz w:val="20"/>
              </w:rPr>
              <w:t>Q-rank</w:t>
            </w:r>
          </w:p>
        </w:tc>
        <w:tc>
          <w:tcPr>
            <w:tcW w:type="dxa" w:w="1134"/>
          </w:tcPr>
          <w:p>
            <w:r>
              <w:rPr>
                <w:b/>
                <w:sz w:val="20"/>
              </w:rPr>
              <w:t>IF 2024</w:t>
            </w:r>
          </w:p>
        </w:tc>
        <w:tc>
          <w:tcPr>
            <w:tcW w:type="dxa" w:w="1417"/>
          </w:tcPr>
          <w:p>
            <w:r>
              <w:rPr>
                <w:b/>
                <w:sz w:val="20"/>
              </w:rPr>
              <w:t>Publisher</w:t>
            </w:r>
          </w:p>
        </w:tc>
        <w:tc>
          <w:tcPr>
            <w:tcW w:type="dxa" w:w="3685"/>
          </w:tcPr>
          <w:p>
            <w:r>
              <w:rPr>
                <w:b/>
                <w:sz w:val="20"/>
              </w:rPr>
              <w:t>Ghi chú</w:t>
            </w:r>
          </w:p>
        </w:tc>
      </w:tr>
      <w:tr>
        <w:tc>
          <w:tcPr>
            <w:tcW w:type="dxa" w:w="2551"/>
          </w:tcPr>
          <w:p>
            <w:r>
              <w:rPr>
                <w:sz w:val="20"/>
              </w:rPr>
              <w:t>Journal of Adolescent Health</w:t>
            </w:r>
          </w:p>
        </w:tc>
        <w:tc>
          <w:tcPr>
            <w:tcW w:type="dxa" w:w="850"/>
          </w:tcPr>
          <w:p>
            <w:r>
              <w:rPr>
                <w:sz w:val="20"/>
              </w:rPr>
              <w:t>Q1</w:t>
            </w:r>
          </w:p>
        </w:tc>
        <w:tc>
          <w:tcPr>
            <w:tcW w:type="dxa" w:w="1134"/>
          </w:tcPr>
          <w:p>
            <w:r>
              <w:rPr>
                <w:sz w:val="20"/>
              </w:rPr>
              <w:t>3.74</w:t>
            </w:r>
          </w:p>
        </w:tc>
        <w:tc>
          <w:tcPr>
            <w:tcW w:type="dxa" w:w="1417"/>
          </w:tcPr>
          <w:p>
            <w:r>
              <w:rPr>
                <w:sz w:val="20"/>
              </w:rPr>
              <w:t>Elsevier</w:t>
            </w:r>
          </w:p>
        </w:tc>
        <w:tc>
          <w:tcPr>
            <w:tcW w:type="dxa" w:w="3685"/>
          </w:tcPr>
          <w:p>
            <w:r>
              <w:rPr>
                <w:sz w:val="20"/>
              </w:rPr>
              <w:t>Mục tiêu Q1 thân thiện multicenter</w:t>
            </w:r>
          </w:p>
        </w:tc>
      </w:tr>
      <w:tr>
        <w:tc>
          <w:tcPr>
            <w:tcW w:type="dxa" w:w="2551"/>
          </w:tcPr>
          <w:p>
            <w:r>
              <w:rPr>
                <w:sz w:val="20"/>
              </w:rPr>
              <w:t>Psychiatry and Clinical Neurosciences</w:t>
            </w:r>
          </w:p>
        </w:tc>
        <w:tc>
          <w:tcPr>
            <w:tcW w:type="dxa" w:w="850"/>
          </w:tcPr>
          <w:p>
            <w:r>
              <w:rPr>
                <w:sz w:val="20"/>
              </w:rPr>
              <w:t>Q1</w:t>
            </w:r>
          </w:p>
        </w:tc>
        <w:tc>
          <w:tcPr>
            <w:tcW w:type="dxa" w:w="1134"/>
          </w:tcPr>
          <w:p>
            <w:r>
              <w:rPr>
                <w:sz w:val="20"/>
              </w:rPr>
              <w:t>6.2</w:t>
            </w:r>
          </w:p>
        </w:tc>
        <w:tc>
          <w:tcPr>
            <w:tcW w:type="dxa" w:w="1417"/>
          </w:tcPr>
          <w:p>
            <w:r>
              <w:rPr>
                <w:sz w:val="20"/>
              </w:rPr>
              <w:t>Wiley</w:t>
            </w:r>
          </w:p>
        </w:tc>
        <w:tc>
          <w:tcPr>
            <w:tcW w:type="dxa" w:w="3685"/>
          </w:tcPr>
          <w:p>
            <w:r>
              <w:rPr>
                <w:sz w:val="20"/>
              </w:rPr>
              <w:t>IF cao; quality bar nghiêm</w:t>
            </w:r>
          </w:p>
        </w:tc>
      </w:tr>
      <w:tr>
        <w:tc>
          <w:tcPr>
            <w:tcW w:type="dxa" w:w="2551"/>
          </w:tcPr>
          <w:p>
            <w:r>
              <w:rPr>
                <w:sz w:val="20"/>
              </w:rPr>
              <w:t>Comprehensive Psychiatry</w:t>
            </w:r>
          </w:p>
        </w:tc>
        <w:tc>
          <w:tcPr>
            <w:tcW w:type="dxa" w:w="850"/>
          </w:tcPr>
          <w:p>
            <w:r>
              <w:rPr>
                <w:sz w:val="20"/>
              </w:rPr>
              <w:t>Q1</w:t>
            </w:r>
          </w:p>
        </w:tc>
        <w:tc>
          <w:tcPr>
            <w:tcW w:type="dxa" w:w="1134"/>
          </w:tcPr>
          <w:p>
            <w:r>
              <w:rPr>
                <w:sz w:val="20"/>
              </w:rPr>
              <w:t>5.30</w:t>
            </w:r>
          </w:p>
        </w:tc>
        <w:tc>
          <w:tcPr>
            <w:tcW w:type="dxa" w:w="1417"/>
          </w:tcPr>
          <w:p>
            <w:r>
              <w:rPr>
                <w:sz w:val="20"/>
              </w:rPr>
              <w:t>Elsevier</w:t>
            </w:r>
          </w:p>
        </w:tc>
        <w:tc>
          <w:tcPr>
            <w:tcW w:type="dxa" w:w="3685"/>
          </w:tcPr>
          <w:p>
            <w:r>
              <w:rPr>
                <w:sz w:val="20"/>
              </w:rPr>
              <w:t>Target tốt cho SEM/longitudinal</w:t>
            </w:r>
          </w:p>
        </w:tc>
      </w:tr>
      <w:tr>
        <w:tc>
          <w:tcPr>
            <w:tcW w:type="dxa" w:w="2551"/>
          </w:tcPr>
          <w:p>
            <w:r>
              <w:rPr>
                <w:sz w:val="20"/>
              </w:rPr>
              <w:t>Frontiers in Public Health</w:t>
            </w:r>
          </w:p>
        </w:tc>
        <w:tc>
          <w:tcPr>
            <w:tcW w:type="dxa" w:w="850"/>
          </w:tcPr>
          <w:p>
            <w:r>
              <w:rPr>
                <w:sz w:val="20"/>
              </w:rPr>
              <w:t>Q1</w:t>
            </w:r>
          </w:p>
        </w:tc>
        <w:tc>
          <w:tcPr>
            <w:tcW w:type="dxa" w:w="1134"/>
          </w:tcPr>
          <w:p>
            <w:r>
              <w:rPr>
                <w:sz w:val="20"/>
              </w:rPr>
              <w:t>3.46</w:t>
            </w:r>
          </w:p>
        </w:tc>
        <w:tc>
          <w:tcPr>
            <w:tcW w:type="dxa" w:w="1417"/>
          </w:tcPr>
          <w:p>
            <w:r>
              <w:rPr>
                <w:sz w:val="20"/>
              </w:rPr>
              <w:t>Frontiers</w:t>
            </w:r>
          </w:p>
        </w:tc>
        <w:tc>
          <w:tcPr>
            <w:tcW w:type="dxa" w:w="3685"/>
          </w:tcPr>
          <w:p>
            <w:r>
              <w:rPr>
                <w:sz w:val="20"/>
              </w:rPr>
              <w:t>Open access; nhiều paper VN khả thi</w:t>
            </w:r>
          </w:p>
        </w:tc>
      </w:tr>
      <w:tr>
        <w:tc>
          <w:tcPr>
            <w:tcW w:type="dxa" w:w="2551"/>
          </w:tcPr>
          <w:p>
            <w:r>
              <w:rPr>
                <w:sz w:val="20"/>
              </w:rPr>
              <w:t>International Journal of Social Psychiatry</w:t>
            </w:r>
          </w:p>
        </w:tc>
        <w:tc>
          <w:tcPr>
            <w:tcW w:type="dxa" w:w="850"/>
          </w:tcPr>
          <w:p>
            <w:r>
              <w:rPr>
                <w:sz w:val="20"/>
              </w:rPr>
              <w:t>Q1</w:t>
            </w:r>
          </w:p>
        </w:tc>
        <w:tc>
          <w:tcPr>
            <w:tcW w:type="dxa" w:w="1134"/>
          </w:tcPr>
          <w:p>
            <w:r>
              <w:rPr>
                <w:sz w:val="20"/>
              </w:rPr>
              <w:t>2.7</w:t>
            </w:r>
          </w:p>
        </w:tc>
        <w:tc>
          <w:tcPr>
            <w:tcW w:type="dxa" w:w="1417"/>
          </w:tcPr>
          <w:p>
            <w:r>
              <w:rPr>
                <w:sz w:val="20"/>
              </w:rPr>
              <w:t>SAGE</w:t>
            </w:r>
          </w:p>
        </w:tc>
        <w:tc>
          <w:tcPr>
            <w:tcW w:type="dxa" w:w="3685"/>
          </w:tcPr>
          <w:p>
            <w:r>
              <w:rPr>
                <w:sz w:val="20"/>
              </w:rPr>
              <w:t>Verified JCR 2024 (em ghi sai Q2 trong v1)</w:t>
            </w:r>
          </w:p>
        </w:tc>
      </w:tr>
      <w:tr>
        <w:tc>
          <w:tcPr>
            <w:tcW w:type="dxa" w:w="2551"/>
          </w:tcPr>
          <w:p>
            <w:r>
              <w:rPr>
                <w:sz w:val="20"/>
              </w:rPr>
              <w:t>Clinical Child Psychology and Psychiatry</w:t>
            </w:r>
          </w:p>
        </w:tc>
        <w:tc>
          <w:tcPr>
            <w:tcW w:type="dxa" w:w="850"/>
          </w:tcPr>
          <w:p>
            <w:r>
              <w:rPr>
                <w:sz w:val="20"/>
              </w:rPr>
              <w:t>Q2</w:t>
            </w:r>
          </w:p>
        </w:tc>
        <w:tc>
          <w:tcPr>
            <w:tcW w:type="dxa" w:w="1134"/>
          </w:tcPr>
          <w:p>
            <w:r>
              <w:rPr>
                <w:sz w:val="20"/>
              </w:rPr>
              <w:t>1.8-2.0</w:t>
            </w:r>
          </w:p>
        </w:tc>
        <w:tc>
          <w:tcPr>
            <w:tcW w:type="dxa" w:w="1417"/>
          </w:tcPr>
          <w:p>
            <w:r>
              <w:rPr>
                <w:sz w:val="20"/>
              </w:rPr>
              <w:t>SAGE</w:t>
            </w:r>
          </w:p>
        </w:tc>
        <w:tc>
          <w:tcPr>
            <w:tcW w:type="dxa" w:w="3685"/>
          </w:tcPr>
          <w:p>
            <w:r>
              <w:rPr>
                <w:sz w:val="20"/>
              </w:rPr>
              <w:t>Q2; chủ đề chuyên biệt cho trẻ em + thanh thiếu niên</w:t>
            </w:r>
          </w:p>
        </w:tc>
      </w:tr>
      <w:tr>
        <w:tc>
          <w:tcPr>
            <w:tcW w:type="dxa" w:w="2551"/>
          </w:tcPr>
          <w:p>
            <w:r>
              <w:rPr>
                <w:sz w:val="20"/>
              </w:rPr>
              <w:t>Cureus</w:t>
            </w:r>
          </w:p>
        </w:tc>
        <w:tc>
          <w:tcPr>
            <w:tcW w:type="dxa" w:w="850"/>
          </w:tcPr>
          <w:p>
            <w:r>
              <w:rPr>
                <w:sz w:val="20"/>
              </w:rPr>
              <w:t>—</w:t>
            </w:r>
          </w:p>
        </w:tc>
        <w:tc>
          <w:tcPr>
            <w:tcW w:type="dxa" w:w="1134"/>
          </w:tcPr>
          <w:p>
            <w:r>
              <w:rPr>
                <w:sz w:val="20"/>
              </w:rPr>
              <w:t>1.3</w:t>
            </w:r>
          </w:p>
        </w:tc>
        <w:tc>
          <w:tcPr>
            <w:tcW w:type="dxa" w:w="1417"/>
          </w:tcPr>
          <w:p>
            <w:r>
              <w:rPr>
                <w:sz w:val="20"/>
              </w:rPr>
              <w:t>Cureus Inc.</w:t>
            </w:r>
          </w:p>
        </w:tc>
        <w:tc>
          <w:tcPr>
            <w:tcW w:type="dxa" w:w="3685"/>
          </w:tcPr>
          <w:p>
            <w:r>
              <w:rPr>
                <w:sz w:val="20"/>
              </w:rPr>
              <w:t>⚠ MẤT INDEXING Web of Science từ 27/10/2025 — không nên target tiếp</w:t>
            </w:r>
          </w:p>
        </w:tc>
      </w:tr>
    </w:tbl>
    <w:p>
      <w:pPr>
        <w:spacing w:after="120"/>
        <w:ind w:left="283"/>
      </w:pPr>
      <w:r>
        <w:rPr>
          <w:rFonts w:ascii="Times New Roman" w:hAnsi="Times New Roman"/>
          <w:b/>
          <w:color w:val="C00000"/>
          <w:sz w:val="22"/>
        </w:rPr>
        <w:t>⚠ Cureus (IF 1.3) đã mất Web of Science indexing từ 27/10/2025. Hai paper #10 (Ai Cập) và #11 (Ả Rập Saudi) đều ở Cureus — vẫn cite được làm tham khảo cho NCS nhưng KHÔNG nên target tiếp cho bài mới của nhóm.</w:t>
      </w:r>
    </w:p>
    <w:p>
      <w:pPr>
        <w:spacing w:before="400" w:after="200"/>
        <w:jc w:val="center"/>
      </w:pPr>
      <w:r>
        <w:rPr>
          <w:rFonts w:ascii="Times New Roman" w:hAnsi="Times New Roman"/>
          <w:b/>
          <w:color w:val="1F4E79"/>
          <w:sz w:val="32"/>
        </w:rPr>
        <w:t>PHẦN 5 — NGUỒN VERIFY</w:t>
      </w:r>
    </w:p>
    <w:p>
      <w:pPr>
        <w:spacing w:after="120"/>
        <w:jc w:val="both"/>
      </w:pPr>
      <w:r>
        <w:rPr>
          <w:rFonts w:ascii="Times New Roman" w:hAnsi="Times New Roman"/>
          <w:i w:val="0"/>
          <w:sz w:val="22"/>
        </w:rPr>
        <w:t>Mọi entry trong file này đã được verify qua các nguồn sau (tuân thủ memory `feedback_verify_tung_entry_truoc_khi_gui.md`):</w:t>
      </w:r>
    </w:p>
    <w:p>
      <w:pPr>
        <w:spacing w:after="60"/>
        <w:ind w:left="283"/>
      </w:pPr>
      <w:r>
        <w:rPr>
          <w:rFonts w:ascii="Times New Roman" w:hAnsi="Times New Roman"/>
          <w:sz w:val="22"/>
        </w:rPr>
        <w:t>▸ PubMed/PMC — tác giả + năm + DOI</w:t>
      </w:r>
    </w:p>
    <w:p>
      <w:pPr>
        <w:spacing w:after="60"/>
        <w:ind w:left="283"/>
      </w:pPr>
      <w:r>
        <w:rPr>
          <w:rFonts w:ascii="Times New Roman" w:hAnsi="Times New Roman"/>
          <w:sz w:val="22"/>
        </w:rPr>
        <w:t>▸ Crossref + Journal landing pages (frontiersin.org, jahonline.org, onlinelibrary.wiley.com, sciencedirect.com, link.springer.com, journals.sagepub.com, cureus.com)</w:t>
      </w:r>
    </w:p>
    <w:p>
      <w:pPr>
        <w:spacing w:after="60"/>
        <w:ind w:left="283"/>
      </w:pPr>
      <w:r>
        <w:rPr>
          <w:rFonts w:ascii="Times New Roman" w:hAnsi="Times New Roman"/>
          <w:sz w:val="22"/>
        </w:rPr>
        <w:t>▸ JCR 2024 thông qua wos-journal.info — IF + quartile</w:t>
      </w:r>
    </w:p>
    <w:p>
      <w:pPr>
        <w:spacing w:after="60"/>
        <w:ind w:left="283"/>
      </w:pPr>
      <w:r>
        <w:rPr>
          <w:rFonts w:ascii="Times New Roman" w:hAnsi="Times New Roman"/>
          <w:sz w:val="22"/>
        </w:rPr>
        <w:t>▸ SCImago — cross-check quartile</w:t>
      </w:r>
    </w:p>
    <w:p>
      <w:pPr>
        <w:spacing w:after="120"/>
        <w:ind w:firstLine="425"/>
        <w:jc w:val="both"/>
      </w:pPr>
      <w:r>
        <w:rPr>
          <w:rFonts w:ascii="Times New Roman" w:hAnsi="Times New Roman"/>
          <w:i/>
          <w:sz w:val="22"/>
        </w:rPr>
        <w:t>Lưu ý: vì các paper mới này em ít quen thuộc hơn các paper TQ/VN nên mức độ chi tiết tác giả (full vs abbreviated) có thể không đồng đều giữa các entry. Khi cite formal trong draft bài Q1/Q3, NCS nên tra cứu lại từng paper trên Crossref để có citation chuẩn APA.</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