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2</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Các bệnh lý sức khỏe tâm thần và các yếu tố liên quan ở thanh thiếu niên tại Kamrup (Metro), Assam: Một nghiên cứu tại trường học » (Mental Health Morbidities and their Correlates among the Adolescents in Kamrup (Metro), Assam: A School-Based Study), do Anku M. Saikia, Hemen Das và Vinoth Rajendran (2023) tại Khoa Y học Cộng đồng, Trường Y khoa và Bệnh viện Gauhati, Guwahati, Assam, Ấn Độ, khảo sát trên mẫu 360 thanh thiếu niên từ 14 đến 17 tuổi tại 10 trường trung học công lập ở quận Kamrup (Metro), vùng Đông Bắc Ấn Độ.</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Assam kết hợp với lịch phỏng vấn được thiết kế sẵn và thang đo Kuppuswamy sửa đổi để đánh giá tình trạng kinh tế xã hội. Nói cách khác, công trình này sử dụng phương pháp sàng lọc cắt ngang tại trường học.</w:t>
      </w:r>
    </w:p>
    <w:p>
      <w:r>
        <w:rPr>
          <w:rFonts w:ascii="Times New Roman" w:hAnsi="Times New Roman"/>
          <w:b w:val="0"/>
          <w:color w:val="0070C0"/>
          <w:sz w:val="24"/>
        </w:rPr>
        <w:t>DASS-21 là phiên bản rút gọn 21 mục của Thang đo Trầm cảm Lo âu Căng thẳng (Depression Anxiety Stress Scale) gốc 42 mục (Lovibond &amp; Lovibond, 1995), được thiết kế để sàng lọc đồng thời ba tình trạng: trầm cảm, lo âu và căng thẳng.</w:t>
      </w:r>
    </w:p>
    <w:p>
      <w:r>
        <w:rPr>
          <w:rFonts w:ascii="Times New Roman" w:hAnsi="Times New Roman"/>
          <w:b w:val="0"/>
          <w:color w:val="0070C0"/>
          <w:sz w:val="24"/>
        </w:rPr>
        <w:t>Thang đo Kuppuswamy sửa đổi (Modified Kuppuswamy Scale) là công cụ đánh giá tình trạng kinh tế xã hội được sử dụng rộng rãi tại Ấn Độ, dựa trên ba tiêu chí: học vấn của trụ cột gia đình, nghề nghiệp và thu nhập hộ gia đình.</w:t>
      </w:r>
    </w:p>
    <w:p>
      <w:r>
        <w:rPr>
          <w:rFonts w:ascii="Times New Roman" w:hAnsi="Times New Roman"/>
          <w:b/>
          <w:color w:val="0070C0"/>
          <w:sz w:val="24"/>
        </w:rPr>
        <w:t>Tổng quan tài liệu của chúng tôi cho thấy phần lớn các nghiên cứu về sức khỏe tâm thần thanh thiếu niên tại Ấn Độ tập trung vào các bang miền Nam và miền Bắc, trong khi vùng Đông Bắc Ấn Độ — nơi có đặc điểm văn hóa bộ lạc khác biệt — hầu như chưa được khảo sát. Đây là nghiên cứu tiên phong tại khu vực này.</w:t>
      </w:r>
    </w:p>
    <w:p>
      <w:r>
        <w:rPr>
          <w:rFonts w:ascii="Times New Roman" w:hAnsi="Times New Roman"/>
          <w:b w:val="0"/>
          <w:color w:val="0070C0"/>
          <w:sz w:val="24"/>
        </w:rPr>
        <w:t>Dữ liệu nhân khẩu xã hội bao gồm tuổi, giới tính, loại gia đình (hạt nhân hoặc mở rộng), tầng lớp kinh tế xã hội, tình trạng cha mẹ (đơn thân hoặc đủ), sử dụng rượu của cha mẹ, tiền sử bị lạm dụng, tiền sử bệnh tâm thần trong gia đình, thói quen chơi trò chơi điện tử và kết quả học tập.</w:t>
      </w:r>
    </w:p>
    <w:p>
      <w:r>
        <w:rPr>
          <w:rFonts w:ascii="Times New Roman" w:hAnsi="Times New Roman"/>
          <w:b w:val="0"/>
          <w:color w:val="0070C0"/>
          <w:sz w:val="24"/>
        </w:rPr>
        <w:t>Nghiên cứu được thực hiện từ tháng 4/2019 đến tháng 6/2020. Từ tổng số 120 trường trung học công lập, 10 trường được chọn ngẫu nhiên đơn giản. Từ mỗi trường, 36 học sinh được chọn ngẫu nhiên (12 từ mỗi lớp 8, 9, 10), đảm bảo số lượng nam và nữ bằng nhau. Quyền riêng tư và tính bảo mật nghiêm ngặt được duy trì trong quá trình phỏng vấn. DASS-21 được dịch sang tiếng Assam, dịch ngược bởi chuyên gia song ngữ và xác nhận bởi nhóm chuyên gia tâm thần học và y học cộng đồng.</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và căng thẳng theo DASS-21 (N = 360):</w:t>
      </w:r>
    </w:p>
    <w:p>
      <w:r>
        <w:rPr>
          <w:b/>
          <w:sz w:val="22"/>
          <w:rFonts w:ascii="Times New Roman" w:hAnsi="Times New Roman"/>
        </w:rPr>
        <w:t>Bảng 1. Tỷ lệ lo âu/trầm cảm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1701" w:type="dxa"/>
            <w:shd w:fill="D9E2F3" w:val="clear"/>
          </w:tcPr>
          <w:p>
            <w:pPr>
              <w:jc w:val="center"/>
            </w:pPr>
            <w:r>
              <w:rPr>
                <w:rFonts w:ascii="Times New Roman" w:hAnsi="Times New Roman"/>
                <w:b/>
                <w:sz w:val="20"/>
              </w:rPr>
              <w:t>n</w:t>
            </w:r>
          </w:p>
        </w:tc>
      </w:tr>
      <w:tr>
        <w:tc>
          <w:tcPr>
            <w:tcW w:type="dxa" w:w="3135"/>
            <w:tcW w:w="2835" w:type="dxa"/>
          </w:tcPr>
          <w:p>
            <w:r>
              <w:rPr>
                <w:rFonts w:ascii="Times New Roman" w:hAnsi="Times New Roman"/>
                <w:sz w:val="20"/>
              </w:rPr>
              <w:t>Trầm cảm</w:t>
            </w:r>
          </w:p>
        </w:tc>
        <w:tc>
          <w:tcPr>
            <w:tcW w:type="dxa" w:w="3135"/>
            <w:tcW w:w="1701" w:type="dxa"/>
          </w:tcPr>
          <w:p>
            <w:r>
              <w:rPr>
                <w:rFonts w:ascii="Times New Roman" w:hAnsi="Times New Roman"/>
                <w:sz w:val="20"/>
              </w:rPr>
              <w:t>22,2%</w:t>
            </w:r>
          </w:p>
        </w:tc>
        <w:tc>
          <w:tcPr>
            <w:tcW w:type="dxa" w:w="3135"/>
            <w:tcW w:w="1701" w:type="dxa"/>
          </w:tcPr>
          <w:p>
            <w:r>
              <w:rPr>
                <w:rFonts w:ascii="Times New Roman" w:hAnsi="Times New Roman"/>
                <w:sz w:val="20"/>
              </w:rPr>
              <w:t>80/360</w:t>
            </w:r>
          </w:p>
        </w:tc>
      </w:tr>
      <w:tr>
        <w:tc>
          <w:tcPr>
            <w:tcW w:type="dxa" w:w="3135"/>
            <w:tcW w:w="2835" w:type="dxa"/>
          </w:tcPr>
          <w:p>
            <w:r>
              <w:rPr>
                <w:rFonts w:ascii="Times New Roman" w:hAnsi="Times New Roman"/>
                <w:sz w:val="20"/>
              </w:rPr>
              <w:t>Lo âu</w:t>
            </w:r>
          </w:p>
        </w:tc>
        <w:tc>
          <w:tcPr>
            <w:tcW w:type="dxa" w:w="3135"/>
            <w:tcW w:w="1701" w:type="dxa"/>
          </w:tcPr>
          <w:p>
            <w:r>
              <w:rPr>
                <w:rFonts w:ascii="Times New Roman" w:hAnsi="Times New Roman"/>
                <w:sz w:val="20"/>
              </w:rPr>
              <w:t>24,4%</w:t>
            </w:r>
          </w:p>
        </w:tc>
        <w:tc>
          <w:tcPr>
            <w:tcW w:type="dxa" w:w="3135"/>
            <w:tcW w:w="1701" w:type="dxa"/>
          </w:tcPr>
          <w:p>
            <w:r>
              <w:rPr>
                <w:rFonts w:ascii="Times New Roman" w:hAnsi="Times New Roman"/>
                <w:sz w:val="20"/>
              </w:rPr>
              <w:t>88/360</w:t>
            </w:r>
          </w:p>
        </w:tc>
      </w:tr>
      <w:tr>
        <w:tc>
          <w:tcPr>
            <w:tcW w:type="dxa" w:w="3135"/>
            <w:tcW w:w="2835" w:type="dxa"/>
          </w:tcPr>
          <w:p>
            <w:r>
              <w:rPr>
                <w:rFonts w:ascii="Times New Roman" w:hAnsi="Times New Roman"/>
                <w:sz w:val="20"/>
              </w:rPr>
              <w:t>Căng thẳng</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25/360</w:t>
            </w:r>
          </w:p>
        </w:tc>
      </w:tr>
    </w:tbl>
    <w:p/>
    <w:p>
      <w:r>
        <w:rPr>
          <w:rFonts w:ascii="Times New Roman" w:hAnsi="Times New Roman"/>
          <w:b/>
          <w:color w:val="0070C0"/>
          <w:sz w:val="24"/>
        </w:rPr>
        <w:t>Tỷ lệ lo âu theo giới tính:</w:t>
      </w:r>
    </w:p>
    <w:p>
      <w:r>
        <w:rPr>
          <w:b/>
          <w:sz w:val="22"/>
          <w:rFonts w:ascii="Times New Roman" w:hAnsi="Times New Roman"/>
        </w:rPr>
        <w:t>Bảng 2. Yếu tố liên quan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Giới tính</w:t>
            </w:r>
          </w:p>
        </w:tc>
        <w:tc>
          <w:tcPr>
            <w:tcW w:type="dxa" w:w="2351"/>
            <w:tcW w:w="1984" w:type="dxa"/>
            <w:shd w:fill="D9E2F3" w:val="clear"/>
          </w:tcPr>
          <w:p>
            <w:pPr>
              <w:jc w:val="center"/>
            </w:pPr>
            <w:r>
              <w:rPr>
                <w:rFonts w:ascii="Times New Roman" w:hAnsi="Times New Roman"/>
                <w:b/>
                <w:sz w:val="20"/>
              </w:rPr>
              <w:t>Có lo âu</w:t>
            </w:r>
          </w:p>
        </w:tc>
        <w:tc>
          <w:tcPr>
            <w:tcW w:type="dxa" w:w="2351"/>
            <w:tcW w:w="1984" w:type="dxa"/>
            <w:shd w:fill="D9E2F3" w:val="clear"/>
          </w:tcPr>
          <w:p>
            <w:pPr>
              <w:jc w:val="center"/>
            </w:pPr>
            <w:r>
              <w:rPr>
                <w:rFonts w:ascii="Times New Roman" w:hAnsi="Times New Roman"/>
                <w:b/>
                <w:sz w:val="20"/>
              </w:rPr>
              <w:t>Không lo âu</w:t>
            </w:r>
          </w:p>
        </w:tc>
        <w:tc>
          <w:tcPr>
            <w:tcW w:type="dxa" w:w="2351"/>
            <w:tcW w:w="1134" w:type="dxa"/>
            <w:shd w:fill="D9E2F3" w:val="clear"/>
          </w:tcPr>
          <w:p>
            <w:pPr>
              <w:jc w:val="center"/>
            </w:pPr>
            <w:r>
              <w:rPr>
                <w:rFonts w:ascii="Times New Roman" w:hAnsi="Times New Roman"/>
                <w:b/>
                <w:sz w:val="20"/>
              </w:rPr>
              <w:t>P</w:t>
            </w:r>
          </w:p>
        </w:tc>
      </w:tr>
      <w:tr>
        <w:tc>
          <w:tcPr>
            <w:tcW w:type="dxa" w:w="2351"/>
            <w:tcW w:w="1701" w:type="dxa"/>
          </w:tcPr>
          <w:p>
            <w:r>
              <w:rPr>
                <w:rFonts w:ascii="Times New Roman" w:hAnsi="Times New Roman"/>
                <w:sz w:val="20"/>
              </w:rPr>
              <w:t>Nam</w:t>
            </w:r>
          </w:p>
        </w:tc>
        <w:tc>
          <w:tcPr>
            <w:tcW w:type="dxa" w:w="2351"/>
            <w:tcW w:w="1984" w:type="dxa"/>
          </w:tcPr>
          <w:p>
            <w:r>
              <w:rPr>
                <w:rFonts w:ascii="Times New Roman" w:hAnsi="Times New Roman"/>
                <w:sz w:val="20"/>
              </w:rPr>
              <w:t>54 (30,0%)</w:t>
            </w:r>
          </w:p>
        </w:tc>
        <w:tc>
          <w:tcPr>
            <w:tcW w:type="dxa" w:w="2351"/>
            <w:tcW w:w="1984" w:type="dxa"/>
          </w:tcPr>
          <w:p>
            <w:r>
              <w:rPr>
                <w:rFonts w:ascii="Times New Roman" w:hAnsi="Times New Roman"/>
                <w:sz w:val="20"/>
              </w:rPr>
              <w:t>126 (70,0%)</w:t>
            </w:r>
          </w:p>
        </w:tc>
        <w:tc>
          <w:tcPr>
            <w:tcW w:type="dxa" w:w="2351"/>
            <w:tcW w:w="1134" w:type="dxa"/>
          </w:tcPr>
          <w:p>
            <w:r>
              <w:rPr>
                <w:rFonts w:ascii="Times New Roman" w:hAnsi="Times New Roman"/>
                <w:sz w:val="20"/>
              </w:rPr>
            </w:r>
          </w:p>
        </w:tc>
      </w:tr>
      <w:tr>
        <w:tc>
          <w:tcPr>
            <w:tcW w:type="dxa" w:w="2351"/>
            <w:tcW w:w="1701" w:type="dxa"/>
          </w:tcPr>
          <w:p>
            <w:r>
              <w:rPr>
                <w:rFonts w:ascii="Times New Roman" w:hAnsi="Times New Roman"/>
                <w:sz w:val="20"/>
              </w:rPr>
              <w:t>Nữ</w:t>
            </w:r>
          </w:p>
        </w:tc>
        <w:tc>
          <w:tcPr>
            <w:tcW w:type="dxa" w:w="2351"/>
            <w:tcW w:w="1984" w:type="dxa"/>
          </w:tcPr>
          <w:p>
            <w:r>
              <w:rPr>
                <w:rFonts w:ascii="Times New Roman" w:hAnsi="Times New Roman"/>
                <w:sz w:val="20"/>
              </w:rPr>
              <w:t>34 (18,9%)</w:t>
            </w:r>
          </w:p>
        </w:tc>
        <w:tc>
          <w:tcPr>
            <w:tcW w:type="dxa" w:w="2351"/>
            <w:tcW w:w="1984" w:type="dxa"/>
          </w:tcPr>
          <w:p>
            <w:r>
              <w:rPr>
                <w:rFonts w:ascii="Times New Roman" w:hAnsi="Times New Roman"/>
                <w:sz w:val="20"/>
              </w:rPr>
              <w:t>146 (81,1%)</w:t>
            </w:r>
          </w:p>
        </w:tc>
        <w:tc>
          <w:tcPr>
            <w:tcW w:type="dxa" w:w="2351"/>
            <w:tcW w:w="1134" w:type="dxa"/>
          </w:tcPr>
          <w:p>
            <w:r>
              <w:rPr>
                <w:rFonts w:ascii="Times New Roman" w:hAnsi="Times New Roman"/>
                <w:sz w:val="20"/>
              </w:rPr>
              <w:t>0,049</w:t>
            </w:r>
          </w:p>
        </w:tc>
      </w:tr>
    </w:tbl>
    <w:p/>
    <w:p>
      <w:r>
        <w:rPr>
          <w:rFonts w:ascii="Times New Roman" w:hAnsi="Times New Roman"/>
          <w:b/>
          <w:color w:val="0070C0"/>
          <w:sz w:val="24"/>
        </w:rPr>
        <w:t>Yếu tố liên quan có ý nghĩa thống kê với lo âu:</w:t>
      </w:r>
    </w:p>
    <w:p>
      <w:r>
        <w:rPr>
          <w:b/>
          <w:sz w:val="22"/>
          <w:rFonts w:ascii="Times New Roman" w:hAnsi="Times New Roman"/>
        </w:rPr>
        <w:t>Bảng 3. So sánh liên bài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P (lo âu)</w:t>
            </w:r>
          </w:p>
        </w:tc>
        <w:tc>
          <w:tcPr>
            <w:tcW w:type="dxa" w:w="2351"/>
            <w:tcW w:w="1417" w:type="dxa"/>
            <w:shd w:fill="D9E2F3" w:val="clear"/>
          </w:tcPr>
          <w:p>
            <w:pPr>
              <w:jc w:val="center"/>
            </w:pPr>
            <w:r>
              <w:rPr>
                <w:rFonts w:ascii="Times New Roman" w:hAnsi="Times New Roman"/>
                <w:b/>
                <w:sz w:val="20"/>
              </w:rPr>
              <w:t>P (trầm cảm)</w:t>
            </w:r>
          </w:p>
        </w:tc>
        <w:tc>
          <w:tcPr>
            <w:tcW w:type="dxa" w:w="2351"/>
            <w:tcW w:w="2268"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Tình trạng cha mẹ (đơn thân)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0,001</w:t>
            </w:r>
          </w:p>
        </w:tc>
        <w:tc>
          <w:tcPr>
            <w:tcW w:type="dxa" w:w="2351"/>
            <w:tcW w:w="2268" w:type="dxa"/>
          </w:tcPr>
          <w:p>
            <w:r>
              <w:rPr>
                <w:rFonts w:ascii="Times New Roman" w:hAnsi="Times New Roman"/>
                <w:sz w:val="20"/>
              </w:rPr>
              <w:t>52,6–63,2% nếu đơn thân</w:t>
            </w:r>
          </w:p>
        </w:tc>
      </w:tr>
      <w:tr>
        <w:tc>
          <w:tcPr>
            <w:tcW w:type="dxa" w:w="2351"/>
            <w:tcW w:w="2268" w:type="dxa"/>
          </w:tcPr>
          <w:p>
            <w:r>
              <w:rPr>
                <w:rFonts w:ascii="Times New Roman" w:hAnsi="Times New Roman"/>
                <w:sz w:val="20"/>
              </w:rPr>
              <w:t>Cha mẹ sử dụng rượu</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38,3–40,4% nếu có rượu</w:t>
            </w:r>
          </w:p>
        </w:tc>
      </w:tr>
      <w:tr>
        <w:tc>
          <w:tcPr>
            <w:tcW w:type="dxa" w:w="2351"/>
            <w:tcW w:w="2268" w:type="dxa"/>
          </w:tcPr>
          <w:p>
            <w:r>
              <w:rPr>
                <w:rFonts w:ascii="Times New Roman" w:hAnsi="Times New Roman"/>
                <w:sz w:val="20"/>
              </w:rPr>
              <w:t>Chơi trò chơi điện tử</w:t>
            </w:r>
          </w:p>
        </w:tc>
        <w:tc>
          <w:tcPr>
            <w:tcW w:type="dxa" w:w="2351"/>
            <w:tcW w:w="1134" w:type="dxa"/>
          </w:tcPr>
          <w:p>
            <w:r>
              <w:rPr>
                <w:rFonts w:ascii="Times New Roman" w:hAnsi="Times New Roman"/>
                <w:sz w:val="20"/>
              </w:rPr>
              <w:t>0,003</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27,9–30,8% nếu chơi game</w:t>
            </w:r>
          </w:p>
        </w:tc>
      </w:tr>
      <w:tr>
        <w:tc>
          <w:tcPr>
            <w:tcW w:type="dxa" w:w="2351"/>
            <w:tcW w:w="2268" w:type="dxa"/>
          </w:tcPr>
          <w:p>
            <w:r>
              <w:rPr>
                <w:rFonts w:ascii="Times New Roman" w:hAnsi="Times New Roman"/>
                <w:sz w:val="20"/>
              </w:rPr>
              <w:t>Kết quả học tập (lưu ban)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51,7–58,6% nếu lưu ban</w:t>
            </w:r>
          </w:p>
        </w:tc>
      </w:tr>
      <w:tr>
        <w:tc>
          <w:tcPr>
            <w:tcW w:type="dxa" w:w="2351"/>
            <w:tcW w:w="2268" w:type="dxa"/>
          </w:tcPr>
          <w:p>
            <w:r>
              <w:rPr>
                <w:rFonts w:ascii="Times New Roman" w:hAnsi="Times New Roman"/>
                <w:sz w:val="20"/>
              </w:rPr>
              <w:t>Tầng lớp KT-XH thấp</w:t>
            </w:r>
          </w:p>
        </w:tc>
        <w:tc>
          <w:tcPr>
            <w:tcW w:type="dxa" w:w="2351"/>
            <w:tcW w:w="1134" w:type="dxa"/>
          </w:tcPr>
          <w:p>
            <w:r>
              <w:rPr>
                <w:rFonts w:ascii="Times New Roman" w:hAnsi="Times New Roman"/>
                <w:sz w:val="20"/>
              </w:rPr>
              <w:t>0,028</w:t>
            </w:r>
          </w:p>
        </w:tc>
        <w:tc>
          <w:tcPr>
            <w:tcW w:type="dxa" w:w="2351"/>
            <w:tcW w:w="1417" w:type="dxa"/>
          </w:tcPr>
          <w:p>
            <w:r>
              <w:rPr>
                <w:rFonts w:ascii="Times New Roman" w:hAnsi="Times New Roman"/>
                <w:sz w:val="20"/>
              </w:rPr>
              <w:t>0,839</w:t>
            </w:r>
          </w:p>
        </w:tc>
        <w:tc>
          <w:tcPr>
            <w:tcW w:type="dxa" w:w="2351"/>
            <w:tcW w:w="2268" w:type="dxa"/>
          </w:tcPr>
          <w:p>
            <w:r>
              <w:rPr>
                <w:rFonts w:ascii="Times New Roman" w:hAnsi="Times New Roman"/>
                <w:sz w:val="20"/>
              </w:rPr>
              <w:t>Chỉ có ý nghĩa với lo âu</w:t>
            </w:r>
          </w:p>
        </w:tc>
      </w:tr>
      <w:tr>
        <w:tc>
          <w:tcPr>
            <w:tcW w:type="dxa" w:w="2351"/>
            <w:tcW w:w="2268" w:type="dxa"/>
          </w:tcPr>
          <w:p>
            <w:r>
              <w:rPr>
                <w:rFonts w:ascii="Times New Roman" w:hAnsi="Times New Roman"/>
                <w:sz w:val="20"/>
              </w:rPr>
              <w:t>Tiền sử bị lạm dụng</w:t>
            </w:r>
          </w:p>
        </w:tc>
        <w:tc>
          <w:tcPr>
            <w:tcW w:type="dxa" w:w="2351"/>
            <w:tcW w:w="1134" w:type="dxa"/>
          </w:tcPr>
          <w:p>
            <w:r>
              <w:rPr>
                <w:rFonts w:ascii="Times New Roman" w:hAnsi="Times New Roman"/>
                <w:sz w:val="20"/>
              </w:rPr>
              <w:t>0,044</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Chỉ có ý nghĩa với lo âu</w:t>
            </w:r>
          </w:p>
        </w:tc>
      </w:tr>
      <w:tr>
        <w:tc>
          <w:tcPr>
            <w:tcW w:type="dxa" w:w="2351"/>
            <w:tcW w:w="2268" w:type="dxa"/>
          </w:tcPr>
          <w:p>
            <w:r>
              <w:rPr>
                <w:rFonts w:ascii="Times New Roman" w:hAnsi="Times New Roman"/>
                <w:sz w:val="20"/>
              </w:rPr>
              <w:t>Tiền sử bệnh TT gia đình</w:t>
            </w:r>
          </w:p>
        </w:tc>
        <w:tc>
          <w:tcPr>
            <w:tcW w:type="dxa" w:w="2351"/>
            <w:tcW w:w="1134" w:type="dxa"/>
          </w:tcPr>
          <w:p>
            <w:r>
              <w:rPr>
                <w:rFonts w:ascii="Times New Roman" w:hAnsi="Times New Roman"/>
                <w:sz w:val="20"/>
              </w:rPr>
              <w:t>0,043</w:t>
            </w:r>
          </w:p>
        </w:tc>
        <w:tc>
          <w:tcPr>
            <w:tcW w:type="dxa" w:w="2351"/>
            <w:tcW w:w="1417" w:type="dxa"/>
          </w:tcPr>
          <w:p>
            <w:r>
              <w:rPr>
                <w:rFonts w:ascii="Times New Roman" w:hAnsi="Times New Roman"/>
                <w:sz w:val="20"/>
              </w:rPr>
              <w:t>0,471</w:t>
            </w:r>
          </w:p>
        </w:tc>
        <w:tc>
          <w:tcPr>
            <w:tcW w:type="dxa" w:w="2351"/>
            <w:tcW w:w="2268" w:type="dxa"/>
          </w:tcPr>
          <w:p>
            <w:r>
              <w:rPr>
                <w:rFonts w:ascii="Times New Roman" w:hAnsi="Times New Roman"/>
                <w:sz w:val="20"/>
              </w:rPr>
              <w:t>Chỉ có ý nghĩa với lo âu</w:t>
            </w:r>
          </w:p>
        </w:tc>
      </w:tr>
      <w:tr>
        <w:tc>
          <w:tcPr>
            <w:tcW w:type="dxa" w:w="2351"/>
            <w:tcW w:w="2268" w:type="dxa"/>
          </w:tcPr>
          <w:p>
            <w:r>
              <w:rPr>
                <w:rFonts w:ascii="Times New Roman" w:hAnsi="Times New Roman"/>
                <w:sz w:val="20"/>
              </w:rPr>
              <w:t>Giới tính (nam &gt; nữ)</w:t>
            </w:r>
          </w:p>
        </w:tc>
        <w:tc>
          <w:tcPr>
            <w:tcW w:type="dxa" w:w="2351"/>
            <w:tcW w:w="1134" w:type="dxa"/>
          </w:tcPr>
          <w:p>
            <w:r>
              <w:rPr>
                <w:rFonts w:ascii="Times New Roman" w:hAnsi="Times New Roman"/>
                <w:sz w:val="20"/>
              </w:rPr>
              <w:t>0,049</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Trái y văn quốc tế</w:t>
            </w:r>
          </w:p>
        </w:tc>
      </w:tr>
    </w:tbl>
    <w:p/>
    <w:p>
      <w:pPr>
        <w:pStyle w:val="Heading3"/>
      </w:pPr>
      <w:r>
        <w:rPr>
          <w:rFonts w:ascii="Times New Roman" w:hAnsi="Times New Roman"/>
          <w:color w:val="0070C0"/>
        </w:rPr>
        <w:t>Khác biệt giới tính : Nam giới luôn được báo cáo có tỷ lệ lo âu thấp hơn nữ giới trong y văn quốc tế (McLean và cộng sự, 2011). Thực tế, sự chênh lệch giới trong lo âu ở thanh thiếu niên đã được xác nhận trong hàng chục nghiên cứu đa quốc gia (Daly, 2022). Tuy nhiên, nghiên cứu hiện tại cho thấy kết quả TRÁI NGƯỢC: nam giới có tỷ lệ lo âu cao hơn nữ (30,0% so với 18,9%, P = 0,049). Phát hiện này phù hợp với Wen và cộng sự (2020) tại nông thôn Trung Quốc và Xu và cộng sự (2021) trong bối cảnh COVID-19 tại Trung Quốc.</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yếu tố gia đình, lối sống và bối cảnh văn hóa Đông Bắc Ấn Độ</w:t>
      </w:r>
    </w:p>
    <w:p>
      <w:r>
        <w:rPr>
          <w:rFonts w:ascii="Times New Roman" w:hAnsi="Times New Roman"/>
          <w:b w:val="0"/>
          <w:color w:val="0070C0"/>
          <w:sz w:val="24"/>
        </w:rPr>
        <w:t>*Cha mẹ đơn thân và sử dụng rượu.* Nổi bật đối với cả nam và nữ thanh thiếu niên là mối liên hệ mạnh giữa hoàn cảnh gia đình bất lợi và sức khỏe tâm thần. Thanh thiếu niên sống với cha hoặc mẹ đơn thân có tỷ lệ lo âu 63,2% — gấp gần 3 lần so với nhóm sống với cả hai bố mẹ (22,3%). Đây là một yếu tố nguy cơ không nằm trong các mục sàng lọc của DASS-21 nhưng được xác nhận rõ ràng bởi phân tích chi-square.</w:t>
      </w:r>
    </w:p>
    <w:p>
      <w:r>
        <w:rPr>
          <w:rFonts w:ascii="Times New Roman" w:hAnsi="Times New Roman"/>
          <w:b w:val="0"/>
          <w:color w:val="0070C0"/>
          <w:sz w:val="24"/>
        </w:rPr>
        <w:t>*Trò chơi điện tử và kết quả học tập.* Sự tác động của thói quen chơi trò chơi điện tử đến sức khỏe tâm thần thanh thiếu niên là rất nổi bật. Những vấn đề này được liên hệ với kết quả học tập kém — thanh thiếu niên bị lưu ban có tỷ lệ lo âu 51,7%, gấp đôi nhóm có kết quả bình thường.</w:t>
      </w:r>
    </w:p>
    <w:p>
      <w:r>
        <w:rPr>
          <w:rFonts w:ascii="Times New Roman" w:hAnsi="Times New Roman"/>
          <w:b w:val="0"/>
          <w:color w:val="0070C0"/>
          <w:sz w:val="24"/>
        </w:rPr>
        <w:t>*Bối cảnh văn hóa bộ lạc Đông Bắc.* Các phân tích cho thấy bối cảnh liên quan đến trải nghiệm lo âu của thanh thiếu niên, bao gồm đặc thù văn hóa bộ lạc vùng Đông Bắc Ấn Độ — nơi kỳ vọng về vai trò nam giới có thể khác biệt so với phần còn lại của Ấn Độ, gợi ý rằng yếu tố văn hóa địa phương có thể đảo ngược xu hướng giới tính thông thường.</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hiện diện của các tỷ lệ đáng kể trầm cảm (22,2%), lo âu (24,4%) và căng thẳng (6,9%) ở thanh thiếu niên tại trường học vùng Đông Bắc Ấn Độ — một khu vực hầu như chưa được nghiên cứu trước đây, gợi ý rằng cần chú ý đến các yếu tố gia đình (cha mẹ đơn thân, sử dụng rượu) và lối sống (chơi game, giấc ngủ) trong thiết kế can thiệp. Sự khác biệt giới tính ngược (nam &gt; nữ), trước đây hiếm được báo cáo, đã có thể quan sát được trong nghiên cứu này và có ý nghĩa tiềm năng cho việc nhận diện các yếu tố văn hóa đặc thù khu vực. Trong bối cảnh trường học Đông Bắc Ấn Độ như nghiên cứu hiện tại, nhu cầu giải quyết mối quan hệ giữa các yếu tố gia đình, lối sống và sức khỏe tâm thần, dù ở mức nhẹ hay nặng, là thiết yếu để tạo điều kiện cho sự tham gia giáo dục.</w:t>
      </w:r>
    </w:p>
    <w:p>
      <w:pPr>
        <w:pStyle w:val="Heading2"/>
      </w:pPr>
      <w:r>
        <w:rPr>
          <w:rFonts w:ascii="Times New Roman" w:hAnsi="Times New Roman"/>
          <w:color w:val="FF0000"/>
        </w:rPr>
        <w:t>Phản biện</w:t>
      </w:r>
    </w:p>
    <w:p>
      <w:r>
        <w:rPr>
          <w:rFonts w:ascii="Times New Roman" w:hAnsi="Times New Roman"/>
          <w:b w:val="0"/>
          <w:color w:val="0070C0"/>
          <w:sz w:val="24"/>
        </w:rPr>
        <w:t>Nam giới có tỷ lệ lo âu cao hơn nữ (30,0% so với 18,9%, P = 0,049) — trái ngược hoàn toàn với y văn quốc tế, nhưng tác giả không giải thích sâu cơ chế văn hóa cụ thể của vùng Đông Bắc. DASS-21 phiên bản tiếng Assam thiếu báo cáo Cronbach alpha — không rõ độ tin cậy của phiên bản dịch. Chỉ sử dụng chi-square (đơn biến) mà không dùng hồi quy logistic đa biến — không thể đánh giá ảnh hưởng độc lập của từng yếu tố sau khi kiểm soát biến gây nhiễu (Rothman và cộng sự, 2008). Thu thập dữ liệu từ tháng 4/2019 đến tháng 6/2020 — trùng với giai đoạn đầu đại dịch COVID-19 nhưng tác giả không đề cập đến tác động tiềm tàng của đại dịch lên kết quả (Racine và cộng sự, 2021). Tuy nhiên, đây là nghiên cứu tiên phong tại Đông Bắc Ấn Độ với thiết kế lấy mẫu ngẫu nhiên tốt từ 10/120 trường.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quy mô lớn hơn tại nhiều quận vùng Đông Bắc Ấn Độ với hồi quy logistic đa biến. Khảo sát sâu yếu tố văn hóa bộ lạc đặc thù giải thích tại sao nam giới lo âu cao hơn nữ. So sánh thành thị-nông thôn trong cùng khu vực. Nghiên cứu can thiệp tại trường học nhắm vào giảm thói quen chơi game và hỗ trợ gia đình đơn thân. Xác thực DASS-21 tiếng Assam với báo cáo Cronbach alpha đầy đủ (Lovibond &amp; Lovibond, 1995).</w:t>
      </w:r>
    </w:p>
    <w:p/>
    <w:p>
      <w:r>
        <w:rPr>
          <w:rFonts w:ascii="Times New Roman" w:hAnsi="Times New Roman"/>
          <w:b/>
          <w:sz w:val="24"/>
        </w:rPr>
        <w:t>Đánh giá chất lượng: ⭐⭐⭐ Trung bình. Nghiên cứu tiên phong cho Đông Bắc Ấn Độ với lấy mẫu ngẫu nhiên tốt, nhưng thiếu phân tích đa biến và thiếu giải thích cho phát hiện nam &gt; nữ.</w:t>
      </w:r>
    </w:p>
    <w:p/>
    <w:p>
      <w:pPr>
        <w:spacing w:line="360" w:lineRule="auto"/>
      </w:pPr>
      <w:r>
        <w:rPr>
          <w:rFonts w:ascii="Times New Roman" w:hAnsi="Times New Roman"/>
          <w:b/>
          <w:sz w:val="26"/>
        </w:rPr>
        <w:t>Tham khao</w:t>
      </w:r>
    </w:p>
    <w:p>
      <w:pPr>
        <w:spacing w:line="360" w:lineRule="auto"/>
      </w:pPr>
      <w:r>
        <w:rPr>
          <w:rFonts w:ascii="Times New Roman" w:hAnsi="Times New Roman"/>
          <w:sz w:val="24"/>
        </w:rPr>
        <w:t>Saikia et al. (2023). [Tieu de bai bao: [khong co trong canonical]]. [Tap chi/Nguon: [khong co trong canonical]], [vol/issue/pages: [khong co trong canonical]].</w:t>
      </w:r>
    </w:p>
    <w:p>
      <w:pPr>
        <w:spacing w:line="360" w:lineRule="auto"/>
      </w:pPr>
      <w:r>
        <w:rPr>
          <w:rFonts w:ascii="Times New Roman" w:hAnsi="Times New Roman"/>
          <w:sz w:val="24"/>
        </w:rPr>
        <w:t>PDF path: 02_Papers-goc/11-bai-ban-dau-va-mo-rong/11_Saikia_2023_IJCM.pdf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