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8</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Phân tích hồ sơ tiềm ẩn về lo âu ở học sinh trung học cơ sở tại các vùng nông thôn kém phát triển của Trung Quốc » (A Latent Profile Analysis of Anxiety among Junior High School Students in Less Developed Rural Regions of China), do Xiaotong Wen và cộng sự (2020), thuộc Đại học Nam Xương, tỉnh Giang Tây, khảo sát trên 900 học sinh lớp 9–12 (tuổi TB 14,14) tại 6 huyện nông thôn tỉnh Giang Tây, miền Đông Trung Quốc, xuất bản trên Int J Environ Res Public Health, 17(11):4079.</w:t>
      </w:r>
    </w:p>
    <w:p>
      <w:r>
        <w:rPr>
          <w:rFonts w:ascii="Times New Roman" w:hAnsi="Times New Roman"/>
          <w:b/>
          <w:color w:val="FF0000"/>
          <w:sz w:val="24"/>
        </w:rPr>
        <w:t>Phương pháp nghiên cứu</w:t>
      </w:r>
    </w:p>
    <w:p>
      <w:r>
        <w:rPr>
          <w:rFonts w:ascii="Times New Roman" w:hAnsi="Times New Roman"/>
          <w:b/>
          <w:color w:val="0070C0"/>
          <w:sz w:val="24"/>
        </w:rPr>
        <w:t>Công trình sử dụng Trắc nghiệm Sức khỏe Tâm thần (MHT — Mental Health Test, 100 mục, 8 thang nội dung) — thang chẩn đoán lo âu tiêu chuẩn hóa dành cho học sinh tiểu học và THCS tại Trung Quốc (Cronbach alpha 0,878). Nói cách khác, nghiên cứu sử dụng phân tích hồ sơ tiềm ẩn (LPA) kết hợp hồi quy logistic đa biến — phương pháp tập trung vào cá nhân (person-centered) thay vì biến (variable-centered).</w:t>
      </w:r>
    </w:p>
    <w:p>
      <w:r>
        <w:rPr>
          <w:rFonts w:ascii="Times New Roman" w:hAnsi="Times New Roman"/>
          <w:b w:val="0"/>
          <w:color w:val="0070C0"/>
          <w:sz w:val="24"/>
        </w:rPr>
        <w:t>Lấy mẫu cụm ngẫu nhiên phân tầng nhiều giai đoạn: Ủy ban Y tế tỉnh chọn huyện → chọn xã → chọn trường → chọn ngẫu nhiên lớp. Phân tích bằng Mplus 7.4 (LPA) và SPSS 24.0 (hồi quy logistic).</w:t>
      </w:r>
    </w:p>
    <w:p>
      <w:r>
        <w:rPr>
          <w:rFonts w:ascii="Times New Roman" w:hAnsi="Times New Roman"/>
          <w:b/>
          <w:color w:val="FF0000"/>
          <w:sz w:val="24"/>
        </w:rPr>
        <w:t>Kết quả nghiên cứu định lượng</w:t>
      </w:r>
    </w:p>
    <w:p>
      <w:r>
        <w:rPr>
          <w:rFonts w:ascii="Times New Roman" w:hAnsi="Times New Roman"/>
          <w:b/>
          <w:color w:val="0070C0"/>
          <w:sz w:val="24"/>
        </w:rPr>
        <w:t>LPA xác định 3 hồ sơ lo âu (N = 900):</w:t>
      </w:r>
    </w:p>
    <w:p>
      <w:r>
        <w:rPr>
          <w:b/>
          <w:sz w:val="22"/>
          <w:rFonts w:ascii="Times New Roman" w:hAnsi="Times New Roman"/>
        </w:rPr>
        <w:t>Bảng 1. Phân tích LPA — Các hồ sơ lo âu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Hồ sơ</w:t>
            </w:r>
          </w:p>
        </w:tc>
        <w:tc>
          <w:tcPr>
            <w:tcW w:type="dxa" w:w="2351"/>
            <w:tcW w:w="850" w:type="dxa"/>
            <w:shd w:fill="D9E2F3" w:val="clear"/>
          </w:tcPr>
          <w:p>
            <w:pPr>
              <w:jc w:val="center"/>
            </w:pPr>
            <w:r>
              <w:rPr>
                <w:rFonts w:ascii="Times New Roman" w:hAnsi="Times New Roman"/>
                <w:b/>
                <w:sz w:val="20"/>
              </w:rPr>
              <w:t>n</w:t>
            </w:r>
          </w:p>
        </w:tc>
        <w:tc>
          <w:tcPr>
            <w:tcW w:type="dxa" w:w="2351"/>
            <w:tcW w:w="1134" w:type="dxa"/>
            <w:shd w:fill="D9E2F3" w:val="clear"/>
          </w:tcPr>
          <w:p>
            <w:pPr>
              <w:jc w:val="center"/>
            </w:pPr>
            <w:r>
              <w:rPr>
                <w:rFonts w:ascii="Times New Roman" w:hAnsi="Times New Roman"/>
                <w:b/>
                <w:sz w:val="20"/>
              </w:rPr>
              <w:t>Tỷ lệ</w:t>
            </w:r>
          </w:p>
        </w:tc>
        <w:tc>
          <w:tcPr>
            <w:tcW w:type="dxa" w:w="2351"/>
            <w:tcW w:w="2835" w:type="dxa"/>
            <w:shd w:fill="D9E2F3" w:val="clear"/>
          </w:tcPr>
          <w:p>
            <w:pPr>
              <w:jc w:val="center"/>
            </w:pPr>
            <w:r>
              <w:rPr>
                <w:rFonts w:ascii="Times New Roman" w:hAnsi="Times New Roman"/>
                <w:b/>
                <w:sz w:val="20"/>
              </w:rPr>
              <w:t>Đặc điểm</w:t>
            </w:r>
          </w:p>
        </w:tc>
      </w:tr>
      <w:tr>
        <w:tc>
          <w:tcPr>
            <w:tcW w:type="dxa" w:w="2351"/>
            <w:tcW w:w="1984" w:type="dxa"/>
          </w:tcPr>
          <w:p>
            <w:r>
              <w:rPr>
                <w:rFonts w:ascii="Times New Roman" w:hAnsi="Times New Roman"/>
                <w:sz w:val="20"/>
              </w:rPr>
              <w:t>Lo âu nhẹ</w:t>
            </w:r>
          </w:p>
        </w:tc>
        <w:tc>
          <w:tcPr>
            <w:tcW w:type="dxa" w:w="2351"/>
            <w:tcW w:w="850" w:type="dxa"/>
          </w:tcPr>
          <w:p>
            <w:r>
              <w:rPr>
                <w:rFonts w:ascii="Times New Roman" w:hAnsi="Times New Roman"/>
                <w:sz w:val="20"/>
              </w:rPr>
              <w:t>173</w:t>
            </w:r>
          </w:p>
        </w:tc>
        <w:tc>
          <w:tcPr>
            <w:tcW w:type="dxa" w:w="2351"/>
            <w:tcW w:w="1134" w:type="dxa"/>
          </w:tcPr>
          <w:p>
            <w:r>
              <w:rPr>
                <w:rFonts w:ascii="Times New Roman" w:hAnsi="Times New Roman"/>
                <w:sz w:val="20"/>
              </w:rPr>
              <w:t>19,2%</w:t>
            </w:r>
          </w:p>
        </w:tc>
        <w:tc>
          <w:tcPr>
            <w:tcW w:type="dxa" w:w="2351"/>
            <w:tcW w:w="2835" w:type="dxa"/>
          </w:tcPr>
          <w:p>
            <w:r>
              <w:rPr>
                <w:rFonts w:ascii="Times New Roman" w:hAnsi="Times New Roman"/>
                <w:sz w:val="20"/>
              </w:rPr>
              <w:t>Điểm thấp nhất trên 8 yếu tố</w:t>
            </w:r>
          </w:p>
        </w:tc>
      </w:tr>
      <w:tr>
        <w:tc>
          <w:tcPr>
            <w:tcW w:type="dxa" w:w="2351"/>
            <w:tcW w:w="1984" w:type="dxa"/>
          </w:tcPr>
          <w:p>
            <w:r>
              <w:rPr>
                <w:rFonts w:ascii="Times New Roman" w:hAnsi="Times New Roman"/>
                <w:sz w:val="20"/>
              </w:rPr>
              <w:t>Lo âu trung bình</w:t>
            </w:r>
          </w:p>
        </w:tc>
        <w:tc>
          <w:tcPr>
            <w:tcW w:type="dxa" w:w="2351"/>
            <w:tcW w:w="850" w:type="dxa"/>
          </w:tcPr>
          <w:p>
            <w:r>
              <w:rPr>
                <w:rFonts w:ascii="Times New Roman" w:hAnsi="Times New Roman"/>
                <w:sz w:val="20"/>
              </w:rPr>
              <w:t>504</w:t>
            </w:r>
          </w:p>
        </w:tc>
        <w:tc>
          <w:tcPr>
            <w:tcW w:type="dxa" w:w="2351"/>
            <w:tcW w:w="1134" w:type="dxa"/>
          </w:tcPr>
          <w:p>
            <w:r>
              <w:rPr>
                <w:rFonts w:ascii="Times New Roman" w:hAnsi="Times New Roman"/>
                <w:sz w:val="20"/>
              </w:rPr>
              <w:t>56,0%</w:t>
            </w:r>
          </w:p>
        </w:tc>
        <w:tc>
          <w:tcPr>
            <w:tcW w:type="dxa" w:w="2351"/>
            <w:tcW w:w="2835" w:type="dxa"/>
          </w:tcPr>
          <w:p>
            <w:r>
              <w:rPr>
                <w:rFonts w:ascii="Times New Roman" w:hAnsi="Times New Roman"/>
                <w:sz w:val="20"/>
              </w:rPr>
              <w:t>Điểm trung bình</w:t>
            </w:r>
          </w:p>
        </w:tc>
      </w:tr>
      <w:tr>
        <w:tc>
          <w:tcPr>
            <w:tcW w:type="dxa" w:w="2351"/>
            <w:tcW w:w="1984" w:type="dxa"/>
          </w:tcPr>
          <w:p>
            <w:r>
              <w:rPr>
                <w:rFonts w:ascii="Times New Roman" w:hAnsi="Times New Roman"/>
                <w:sz w:val="20"/>
              </w:rPr>
              <w:t>Lo âu nặng</w:t>
            </w:r>
          </w:p>
        </w:tc>
        <w:tc>
          <w:tcPr>
            <w:tcW w:type="dxa" w:w="2351"/>
            <w:tcW w:w="850" w:type="dxa"/>
          </w:tcPr>
          <w:p>
            <w:r>
              <w:rPr>
                <w:rFonts w:ascii="Times New Roman" w:hAnsi="Times New Roman"/>
                <w:sz w:val="20"/>
              </w:rPr>
              <w:t>223</w:t>
            </w:r>
          </w:p>
        </w:tc>
        <w:tc>
          <w:tcPr>
            <w:tcW w:type="dxa" w:w="2351"/>
            <w:tcW w:w="1134" w:type="dxa"/>
          </w:tcPr>
          <w:p>
            <w:r>
              <w:rPr>
                <w:rFonts w:ascii="Times New Roman" w:hAnsi="Times New Roman"/>
                <w:sz w:val="20"/>
              </w:rPr>
              <w:t>24,8%</w:t>
            </w:r>
          </w:p>
        </w:tc>
        <w:tc>
          <w:tcPr>
            <w:tcW w:type="dxa" w:w="2351"/>
            <w:tcW w:w="2835" w:type="dxa"/>
          </w:tcPr>
          <w:p>
            <w:r>
              <w:rPr>
                <w:rFonts w:ascii="Times New Roman" w:hAnsi="Times New Roman"/>
                <w:sz w:val="20"/>
              </w:rPr>
              <w:t>Điểm cao nhất trên 8 yếu tố</w:t>
            </w:r>
          </w:p>
        </w:tc>
      </w:tr>
    </w:tbl>
    <w:p/>
    <w:p>
      <w:r>
        <w:rPr>
          <w:rFonts w:ascii="Times New Roman" w:hAnsi="Times New Roman"/>
          <w:b/>
          <w:color w:val="0070C0"/>
          <w:sz w:val="24"/>
        </w:rPr>
        <w:t>Yếu tố liên quan (hồi quy logistic, nhóm tham chiếu: lo âu nhẹ):</w:t>
      </w:r>
    </w:p>
    <w:p>
      <w:r>
        <w:rPr>
          <w:b/>
          <w:sz w:val="22"/>
          <w:rFonts w:ascii="Times New Roman" w:hAnsi="Times New Roman"/>
        </w:rPr>
        <w:t>Bảng 2. Yếu tố dự báo</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Yếu tố</w:t>
            </w:r>
          </w:p>
        </w:tc>
        <w:tc>
          <w:tcPr>
            <w:tcW w:type="dxa" w:w="3135"/>
            <w:tcW w:w="1984" w:type="dxa"/>
            <w:shd w:fill="D9E2F3" w:val="clear"/>
          </w:tcPr>
          <w:p>
            <w:pPr>
              <w:jc w:val="center"/>
            </w:pPr>
            <w:r>
              <w:rPr>
                <w:rFonts w:ascii="Times New Roman" w:hAnsi="Times New Roman"/>
                <w:b/>
                <w:sz w:val="20"/>
              </w:rPr>
              <w:t>Lo âu TB (OR)</w:t>
            </w:r>
          </w:p>
        </w:tc>
        <w:tc>
          <w:tcPr>
            <w:tcW w:type="dxa" w:w="3135"/>
            <w:tcW w:w="1984" w:type="dxa"/>
            <w:shd w:fill="D9E2F3" w:val="clear"/>
          </w:tcPr>
          <w:p>
            <w:pPr>
              <w:jc w:val="center"/>
            </w:pPr>
            <w:r>
              <w:rPr>
                <w:rFonts w:ascii="Times New Roman" w:hAnsi="Times New Roman"/>
                <w:b/>
                <w:sz w:val="20"/>
              </w:rPr>
              <w:t>Lo âu nặng (OR)</w:t>
            </w:r>
          </w:p>
        </w:tc>
      </w:tr>
      <w:tr>
        <w:tc>
          <w:tcPr>
            <w:tcW w:type="dxa" w:w="3135"/>
            <w:tcW w:w="2551" w:type="dxa"/>
          </w:tcPr>
          <w:p>
            <w:r>
              <w:rPr>
                <w:rFonts w:ascii="Times New Roman" w:hAnsi="Times New Roman"/>
                <w:sz w:val="20"/>
              </w:rPr>
              <w:t>Áp lực học tập rất cao</w:t>
            </w:r>
          </w:p>
        </w:tc>
        <w:tc>
          <w:tcPr>
            <w:tcW w:type="dxa" w:w="3135"/>
            <w:tcW w:w="1984" w:type="dxa"/>
          </w:tcPr>
          <w:p>
            <w:r>
              <w:rPr>
                <w:rFonts w:ascii="Times New Roman" w:hAnsi="Times New Roman"/>
                <w:sz w:val="20"/>
              </w:rPr>
              <w:t>6,523*</w:t>
            </w:r>
          </w:p>
        </w:tc>
        <w:tc>
          <w:tcPr>
            <w:tcW w:type="dxa" w:w="3135"/>
            <w:tcW w:w="1984" w:type="dxa"/>
          </w:tcPr>
          <w:p>
            <w:r>
              <w:rPr>
                <w:rFonts w:ascii="Times New Roman" w:hAnsi="Times New Roman"/>
                <w:sz w:val="20"/>
              </w:rPr>
              <w:t>11,579*</w:t>
            </w:r>
          </w:p>
        </w:tc>
      </w:tr>
      <w:tr>
        <w:tc>
          <w:tcPr>
            <w:tcW w:type="dxa" w:w="3135"/>
            <w:tcW w:w="2551" w:type="dxa"/>
          </w:tcPr>
          <w:p>
            <w:r>
              <w:rPr>
                <w:rFonts w:ascii="Times New Roman" w:hAnsi="Times New Roman"/>
                <w:sz w:val="20"/>
              </w:rPr>
              <w:t>Áp lực học tập cao</w:t>
            </w:r>
          </w:p>
        </w:tc>
        <w:tc>
          <w:tcPr>
            <w:tcW w:type="dxa" w:w="3135"/>
            <w:tcW w:w="1984" w:type="dxa"/>
          </w:tcPr>
          <w:p>
            <w:r>
              <w:rPr>
                <w:rFonts w:ascii="Times New Roman" w:hAnsi="Times New Roman"/>
                <w:sz w:val="20"/>
              </w:rPr>
              <w:t>6,122*</w:t>
            </w:r>
          </w:p>
        </w:tc>
        <w:tc>
          <w:tcPr>
            <w:tcW w:type="dxa" w:w="3135"/>
            <w:tcW w:w="1984" w:type="dxa"/>
          </w:tcPr>
          <w:p>
            <w:r>
              <w:rPr>
                <w:rFonts w:ascii="Times New Roman" w:hAnsi="Times New Roman"/>
                <w:sz w:val="20"/>
              </w:rPr>
              <w:t>5,894*</w:t>
            </w:r>
          </w:p>
        </w:tc>
      </w:tr>
      <w:tr>
        <w:tc>
          <w:tcPr>
            <w:tcW w:type="dxa" w:w="3135"/>
            <w:tcW w:w="2551" w:type="dxa"/>
          </w:tcPr>
          <w:p>
            <w:r>
              <w:rPr>
                <w:rFonts w:ascii="Times New Roman" w:hAnsi="Times New Roman"/>
                <w:sz w:val="20"/>
              </w:rPr>
              <w:t>Giới tính nam (vs nữ)</w:t>
            </w:r>
          </w:p>
        </w:tc>
        <w:tc>
          <w:tcPr>
            <w:tcW w:type="dxa" w:w="3135"/>
            <w:tcW w:w="1984" w:type="dxa"/>
          </w:tcPr>
          <w:p>
            <w:r>
              <w:rPr>
                <w:rFonts w:ascii="Times New Roman" w:hAnsi="Times New Roman"/>
                <w:sz w:val="20"/>
              </w:rPr>
              <w:t>0,649* (bảo vệ)</w:t>
            </w:r>
          </w:p>
        </w:tc>
        <w:tc>
          <w:tcPr>
            <w:tcW w:type="dxa" w:w="3135"/>
            <w:tcW w:w="1984" w:type="dxa"/>
          </w:tcPr>
          <w:p>
            <w:r>
              <w:rPr>
                <w:rFonts w:ascii="Times New Roman" w:hAnsi="Times New Roman"/>
                <w:sz w:val="20"/>
              </w:rPr>
              <w:t>0,262* (bảo vệ)</w:t>
            </w:r>
          </w:p>
        </w:tc>
      </w:tr>
      <w:tr>
        <w:tc>
          <w:tcPr>
            <w:tcW w:type="dxa" w:w="3135"/>
            <w:tcW w:w="2551" w:type="dxa"/>
          </w:tcPr>
          <w:p>
            <w:r>
              <w:rPr>
                <w:rFonts w:ascii="Times New Roman" w:hAnsi="Times New Roman"/>
                <w:sz w:val="20"/>
              </w:rPr>
              <w:t>SKTT trường đầy đủ</w:t>
            </w:r>
          </w:p>
        </w:tc>
        <w:tc>
          <w:tcPr>
            <w:tcW w:type="dxa" w:w="3135"/>
            <w:tcW w:w="1984" w:type="dxa"/>
          </w:tcPr>
          <w:p>
            <w:r>
              <w:rPr>
                <w:rFonts w:ascii="Times New Roman" w:hAnsi="Times New Roman"/>
                <w:sz w:val="20"/>
              </w:rPr>
              <w:t>—</w:t>
            </w:r>
          </w:p>
        </w:tc>
        <w:tc>
          <w:tcPr>
            <w:tcW w:type="dxa" w:w="3135"/>
            <w:tcW w:w="1984" w:type="dxa"/>
          </w:tcPr>
          <w:p>
            <w:r>
              <w:rPr>
                <w:rFonts w:ascii="Times New Roman" w:hAnsi="Times New Roman"/>
                <w:sz w:val="20"/>
              </w:rPr>
              <w:t>0,562* (bảo vệ)</w:t>
            </w:r>
          </w:p>
        </w:tc>
      </w:tr>
      <w:tr>
        <w:tc>
          <w:tcPr>
            <w:tcW w:type="dxa" w:w="3135"/>
            <w:tcW w:w="2551" w:type="dxa"/>
          </w:tcPr>
          <w:p>
            <w:r>
              <w:rPr>
                <w:rFonts w:ascii="Times New Roman" w:hAnsi="Times New Roman"/>
                <w:sz w:val="20"/>
              </w:rPr>
              <w:t>Thành tích xuất sắc</w:t>
            </w:r>
          </w:p>
        </w:tc>
        <w:tc>
          <w:tcPr>
            <w:tcW w:type="dxa" w:w="3135"/>
            <w:tcW w:w="1984" w:type="dxa"/>
          </w:tcPr>
          <w:p>
            <w:r>
              <w:rPr>
                <w:rFonts w:ascii="Times New Roman" w:hAnsi="Times New Roman"/>
                <w:sz w:val="20"/>
              </w:rPr>
              <w:t>0,377* (bảo vệ)</w:t>
            </w:r>
          </w:p>
        </w:tc>
        <w:tc>
          <w:tcPr>
            <w:tcW w:type="dxa" w:w="3135"/>
            <w:tcW w:w="1984" w:type="dxa"/>
          </w:tcPr>
          <w:p>
            <w:r>
              <w:rPr>
                <w:rFonts w:ascii="Times New Roman" w:hAnsi="Times New Roman"/>
                <w:sz w:val="20"/>
              </w:rPr>
              <w:t>—</w:t>
            </w:r>
          </w:p>
        </w:tc>
      </w:tr>
    </w:tbl>
    <w:p/>
    <w:p>
      <w:pPr>
        <w:pStyle w:val="Heading3"/>
      </w:pPr>
      <w:r>
        <w:rPr>
          <w:rFonts w:ascii="Times New Roman" w:hAnsi="Times New Roman"/>
          <w:color w:val="0070C0"/>
        </w:rPr>
        <w:t>Khác biệt giới tính : Trái ngược với đa số y văn (nữ &gt; nam), nghiên cứu này cho thấy nam có nguy cơ lo âu nặng chỉ bằng 0,262 lần so với nữ (P &lt; 0,05) — tức nữ lo âu nặng gấp gần 4 lần nam. Phát hiện này phù hợp với xu hướng quốc tế nhưng mức chênh lệch lớn bất thường.</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*Áp lực học tập — yếu tố nguy cơ mạnh nhất.* Học sinh tự đánh giá áp lực "rất cao" có nguy cơ lo âu nặng gấp 11,6 lần. Đây là OR lớn nhất trong tất cả 11 bài nghiên cứu, phản ánh đặc thù hệ thống giáo dục Trung Quốc tập trung vào thi cử.</w:t>
      </w:r>
    </w:p>
    <w:p>
      <w:r>
        <w:rPr>
          <w:rFonts w:ascii="Times New Roman" w:hAnsi="Times New Roman"/>
          <w:b w:val="0"/>
          <w:color w:val="0070C0"/>
          <w:sz w:val="24"/>
        </w:rPr>
        <w:t>*Hỗ trợ SKTT tại trường — yếu tố bảo vệ.* Khi trường có dịch vụ SKTT đầy đủ, nguy cơ lo âu nặng giảm (OR = 0,562), gợi ý can thiệp hiệu quả dựa trên trường học.</w:t>
      </w:r>
    </w:p>
    <w:p>
      <w:r>
        <w:rPr>
          <w:rFonts w:ascii="Times New Roman" w:hAnsi="Times New Roman"/>
          <w:b/>
          <w:color w:val="FF0000"/>
          <w:sz w:val="24"/>
        </w:rPr>
        <w:t>Kết luận</w:t>
      </w:r>
    </w:p>
    <w:p>
      <w:r>
        <w:rPr>
          <w:rFonts w:ascii="Times New Roman" w:hAnsi="Times New Roman"/>
          <w:b/>
          <w:color w:val="0070C0"/>
          <w:sz w:val="24"/>
        </w:rPr>
        <w:t>Dữ liệu cho thấy 24,8% học sinh THCS nông thôn Trung Quốc có lo âu nặng, với áp lực học tập là yếu tố nguy cơ mạnh nhất (OR = 11,6). Hỗ trợ SKTT tại trường giảm nguy cơ lo âu nặng (OR = 0,562). Nữ sinh có nguy cơ cao gấp gần 4 lần nam sinh. Giảm áp lực học tập và thiết lập phòng tư vấn tâm lý chuyên nghiệp tại trường là hai khuyến nghị chính.</w:t>
      </w:r>
    </w:p>
    <w:p>
      <w:pPr>
        <w:pStyle w:val="Heading2"/>
      </w:pPr>
      <w:r>
        <w:rPr>
          <w:rFonts w:ascii="Times New Roman" w:hAnsi="Times New Roman"/>
          <w:color w:val="FF0000"/>
        </w:rPr>
        <w:t>Phản biện</w:t>
      </w:r>
    </w:p>
    <w:p>
      <w:r>
        <w:rPr>
          <w:rFonts w:ascii="Times New Roman" w:hAnsi="Times New Roman"/>
          <w:b w:val="0"/>
          <w:color w:val="0070C0"/>
          <w:sz w:val="24"/>
        </w:rPr>
        <w:t>Điểm mạnh: phương pháp LPA độc đáo, tập trung vào cá nhân thay vì biến. Tuy nhiên, cỡ mẫu 900 khiêm tốn, chỉ khảo sát nông thôn một tỉnh. MHT là thang đo Trung Quốc, khó so sánh quốc tế (không dùng GAD-7/DASS-21). Tạp chí IJERPH (PubMed-indexed) nhưng impact factor trung bình.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theo dõi lo âu từ THCS đến THPT. So sánh nông thôn–thành thị cùng tỉnh. Can thiệp giảm áp lực học tập và đánh giá hiệu quả.</w:t>
      </w:r>
    </w:p>
    <w:p/>
    <w:p>
      <w:r>
        <w:rPr>
          <w:rFonts w:ascii="Times New Roman" w:hAnsi="Times New Roman"/>
          <w:b/>
          <w:sz w:val="24"/>
        </w:rPr>
        <w:t>Đánh giá chất lượng: ⭐⭐⭐ Trung bình-Khá. LPA độc đáo nhưng cỡ mẫu nhỏ, công cụ đặc thù Trung Quốc.</w:t>
      </w:r>
    </w:p>
    <w:p/>
    <w:p>
      <w:pPr>
        <w:spacing w:line="360" w:lineRule="auto"/>
      </w:pPr>
      <w:r>
        <w:rPr>
          <w:rFonts w:ascii="Times New Roman" w:hAnsi="Times New Roman"/>
          <w:b/>
          <w:sz w:val="26"/>
        </w:rPr>
        <w:t>Tham khao</w:t>
      </w:r>
    </w:p>
    <w:p>
      <w:pPr>
        <w:spacing w:line="360" w:lineRule="auto"/>
      </w:pPr>
      <w:r>
        <w:rPr>
          <w:rFonts w:ascii="Times New Roman" w:hAnsi="Times New Roman"/>
          <w:sz w:val="24"/>
        </w:rPr>
        <w:t>Wen et al. (2020). [Tieu de bai bao: [khong co trong canonical]]. [Tap chi/Nguon: [khong co trong canonical]], [vol/issue/pages: [khong co trong canonical]].</w:t>
      </w:r>
    </w:p>
    <w:p>
      <w:pPr>
        <w:spacing w:line="360" w:lineRule="auto"/>
      </w:pPr>
      <w:r>
        <w:rPr>
          <w:rFonts w:ascii="Times New Roman" w:hAnsi="Times New Roman"/>
          <w:sz w:val="24"/>
        </w:rPr>
        <w:t>PDF path: 02_Papers-goc/The-gioi_Khac/QT008_Wen_2020_China_Rural_LPA.pdf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