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9</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 Mối liên hệ giữa phong cách nuôi dạy con và khả năng phục hồi với triệu chứng trầm cảm và lo âu ở học sinh trung học cơ sở Trung Quốc » (Associations of Parenting Style and Resilience With Depression and Anxiety Symptoms in Chinese Middle School Students), do Zhihai Qiu, Ying Guo, Jun Wang và Hongbo Zhang (2022), khảo sát trên 2.079 học sinh (tuổi TB 16,7) tại thành phố Hợp Phì, tỉnh An Huy, Trung Quốc, xuất bản trên Frontiers in Psychology, 13:897339.</w:t>
      </w:r>
    </w:p>
    <w:p>
      <w:r>
        <w:rPr>
          <w:rFonts w:ascii="Times New Roman" w:hAnsi="Times New Roman"/>
          <w:b/>
          <w:color w:val="FF0000"/>
          <w:sz w:val="24"/>
        </w:rPr>
        <w:t>Phương pháp nghiên cứu</w:t>
      </w:r>
    </w:p>
    <w:p>
      <w:r>
        <w:rPr>
          <w:rFonts w:ascii="Times New Roman" w:hAnsi="Times New Roman"/>
          <w:b/>
          <w:color w:val="0070C0"/>
          <w:sz w:val="24"/>
        </w:rPr>
        <w:t>Công trình sử dụng Thang đo Trầm cảm CES-D (20 mục, ngưỡng ≥20, α = 0,910) và Thang đo Lo âu Tự đánh giá SAS (20 mục, ngưỡng ≥50, α = 0,799), kết hợp Thang đo Khả năng Phục hồi SRSMSS (α = 0,931) và Thang đo Phong cách Nuôi dạy EMBU (9 chiều). Nói cách khác, nghiên cứu sử dụng phân tích hồ sơ tiềm ẩn (LPA) cho phong cách nuôi dạy kết hợp hồi quy logistic đa biến.</w:t>
      </w:r>
    </w:p>
    <w:p>
      <w:r>
        <w:rPr>
          <w:rFonts w:ascii="Times New Roman" w:hAnsi="Times New Roman"/>
          <w:b w:val="0"/>
          <w:color w:val="0070C0"/>
          <w:sz w:val="24"/>
        </w:rPr>
        <w:t>Lấy mẫu cụm tháng 9–10/2021 tại Hợp Phì. Tỷ lệ phản hồi 98,06%. LPA xác định 3 hồ sơ nuôi dạy: Tích cực (58,6%), Trung bình (32,2%), Tiêu cực (9,1%).</w:t>
      </w:r>
    </w:p>
    <w:p>
      <w:r>
        <w:rPr>
          <w:rFonts w:ascii="Times New Roman" w:hAnsi="Times New Roman"/>
          <w:b/>
          <w:color w:val="FF0000"/>
          <w:sz w:val="24"/>
        </w:rPr>
        <w:t>Kết quả nghiên cứu định lượng</w:t>
      </w:r>
    </w:p>
    <w:p>
      <w:r>
        <w:rPr>
          <w:b/>
          <w:sz w:val="22"/>
          <w:rFonts w:ascii="Times New Roman" w:hAnsi="Times New Roman"/>
        </w:rPr>
        <w:t>Bảng 1. Kết quả chính — Phong cách nuôi dạy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2268" w:type="dxa"/>
            <w:shd w:fill="D9E2F3" w:val="clear"/>
          </w:tcPr>
          <w:p>
            <w:pPr>
              <w:jc w:val="center"/>
            </w:pPr>
            <w:r>
              <w:rPr>
                <w:rFonts w:ascii="Times New Roman" w:hAnsi="Times New Roman"/>
                <w:b/>
                <w:sz w:val="20"/>
              </w:rPr>
              <w:t>Chỉ số</w:t>
            </w:r>
          </w:p>
        </w:tc>
        <w:tc>
          <w:tcPr>
            <w:tcW w:type="dxa" w:w="1881"/>
            <w:tcW w:w="1134" w:type="dxa"/>
            <w:shd w:fill="D9E2F3" w:val="clear"/>
          </w:tcPr>
          <w:p>
            <w:pPr>
              <w:jc w:val="center"/>
            </w:pPr>
            <w:r>
              <w:rPr>
                <w:rFonts w:ascii="Times New Roman" w:hAnsi="Times New Roman"/>
                <w:b/>
                <w:sz w:val="20"/>
              </w:rPr>
              <w:t>Tỷ lệ</w:t>
            </w:r>
          </w:p>
        </w:tc>
        <w:tc>
          <w:tcPr>
            <w:tcW w:type="dxa" w:w="1881"/>
            <w:tcW w:w="1134" w:type="dxa"/>
            <w:shd w:fill="D9E2F3" w:val="clear"/>
          </w:tcPr>
          <w:p>
            <w:pPr>
              <w:jc w:val="center"/>
            </w:pPr>
            <w:r>
              <w:rPr>
                <w:rFonts w:ascii="Times New Roman" w:hAnsi="Times New Roman"/>
                <w:b/>
                <w:sz w:val="20"/>
              </w:rPr>
              <w:t>Nam</w:t>
            </w:r>
          </w:p>
        </w:tc>
        <w:tc>
          <w:tcPr>
            <w:tcW w:type="dxa" w:w="1881"/>
            <w:tcW w:w="1134" w:type="dxa"/>
            <w:shd w:fill="D9E2F3" w:val="clear"/>
          </w:tcPr>
          <w:p>
            <w:pPr>
              <w:jc w:val="center"/>
            </w:pPr>
            <w:r>
              <w:rPr>
                <w:rFonts w:ascii="Times New Roman" w:hAnsi="Times New Roman"/>
                <w:b/>
                <w:sz w:val="20"/>
              </w:rPr>
              <w:t>Nữ</w:t>
            </w:r>
          </w:p>
        </w:tc>
        <w:tc>
          <w:tcPr>
            <w:tcW w:type="dxa" w:w="1881"/>
            <w:tcW w:w="1134" w:type="dxa"/>
            <w:shd w:fill="D9E2F3" w:val="clear"/>
          </w:tcPr>
          <w:p>
            <w:pPr>
              <w:jc w:val="center"/>
            </w:pPr>
            <w:r>
              <w:rPr>
                <w:rFonts w:ascii="Times New Roman" w:hAnsi="Times New Roman"/>
                <w:b/>
                <w:sz w:val="20"/>
              </w:rPr>
              <w:t>P</w:t>
            </w:r>
          </w:p>
        </w:tc>
      </w:tr>
      <w:tr>
        <w:tc>
          <w:tcPr>
            <w:tcW w:type="dxa" w:w="1881"/>
            <w:tcW w:w="2268" w:type="dxa"/>
          </w:tcPr>
          <w:p>
            <w:r>
              <w:rPr>
                <w:rFonts w:ascii="Times New Roman" w:hAnsi="Times New Roman"/>
                <w:sz w:val="20"/>
              </w:rPr>
              <w:t>Trầm cảm (CES-D ≥20)</w:t>
            </w:r>
          </w:p>
        </w:tc>
        <w:tc>
          <w:tcPr>
            <w:tcW w:type="dxa" w:w="1881"/>
            <w:tcW w:w="1134" w:type="dxa"/>
          </w:tcPr>
          <w:p>
            <w:r>
              <w:rPr>
                <w:rFonts w:ascii="Times New Roman" w:hAnsi="Times New Roman"/>
                <w:sz w:val="20"/>
              </w:rPr>
              <w:t>26,0%</w:t>
            </w:r>
          </w:p>
        </w:tc>
        <w:tc>
          <w:tcPr>
            <w:tcW w:type="dxa" w:w="1881"/>
            <w:tcW w:w="1134" w:type="dxa"/>
          </w:tcPr>
          <w:p>
            <w:r>
              <w:rPr>
                <w:rFonts w:ascii="Times New Roman" w:hAnsi="Times New Roman"/>
                <w:sz w:val="20"/>
              </w:rPr>
              <w:t>24,3%</w:t>
            </w:r>
          </w:p>
        </w:tc>
        <w:tc>
          <w:tcPr>
            <w:tcW w:type="dxa" w:w="1881"/>
            <w:tcW w:w="1134" w:type="dxa"/>
          </w:tcPr>
          <w:p>
            <w:r>
              <w:rPr>
                <w:rFonts w:ascii="Times New Roman" w:hAnsi="Times New Roman"/>
                <w:sz w:val="20"/>
              </w:rPr>
              <w:t>28,9%</w:t>
            </w:r>
          </w:p>
        </w:tc>
        <w:tc>
          <w:tcPr>
            <w:tcW w:type="dxa" w:w="1881"/>
            <w:tcW w:w="1134" w:type="dxa"/>
          </w:tcPr>
          <w:p>
            <w:r>
              <w:rPr>
                <w:rFonts w:ascii="Times New Roman" w:hAnsi="Times New Roman"/>
                <w:sz w:val="20"/>
              </w:rPr>
              <w:t>&lt;0,05</w:t>
            </w:r>
          </w:p>
        </w:tc>
      </w:tr>
      <w:tr>
        <w:tc>
          <w:tcPr>
            <w:tcW w:type="dxa" w:w="1881"/>
            <w:tcW w:w="2268" w:type="dxa"/>
          </w:tcPr>
          <w:p>
            <w:r>
              <w:rPr>
                <w:rFonts w:ascii="Times New Roman" w:hAnsi="Times New Roman"/>
                <w:sz w:val="20"/>
              </w:rPr>
              <w:t>Lo âu (SAS ≥50)</w:t>
            </w:r>
          </w:p>
        </w:tc>
        <w:tc>
          <w:tcPr>
            <w:tcW w:type="dxa" w:w="1881"/>
            <w:tcW w:w="1134" w:type="dxa"/>
          </w:tcPr>
          <w:p>
            <w:r>
              <w:rPr>
                <w:rFonts w:ascii="Times New Roman" w:hAnsi="Times New Roman"/>
                <w:sz w:val="20"/>
              </w:rPr>
              <w:t>13,4%</w:t>
            </w:r>
          </w:p>
        </w:tc>
        <w:tc>
          <w:tcPr>
            <w:tcW w:type="dxa" w:w="1881"/>
            <w:tcW w:w="1134" w:type="dxa"/>
          </w:tcPr>
          <w:p>
            <w:r>
              <w:rPr>
                <w:rFonts w:ascii="Times New Roman" w:hAnsi="Times New Roman"/>
                <w:sz w:val="20"/>
              </w:rPr>
              <w:t>11,1%</w:t>
            </w:r>
          </w:p>
        </w:tc>
        <w:tc>
          <w:tcPr>
            <w:tcW w:type="dxa" w:w="1881"/>
            <w:tcW w:w="1134" w:type="dxa"/>
          </w:tcPr>
          <w:p>
            <w:r>
              <w:rPr>
                <w:rFonts w:ascii="Times New Roman" w:hAnsi="Times New Roman"/>
                <w:sz w:val="20"/>
              </w:rPr>
              <w:t>17,5%</w:t>
            </w:r>
          </w:p>
        </w:tc>
        <w:tc>
          <w:tcPr>
            <w:tcW w:type="dxa" w:w="1881"/>
            <w:tcW w:w="1134" w:type="dxa"/>
          </w:tcPr>
          <w:p>
            <w:r>
              <w:rPr>
                <w:rFonts w:ascii="Times New Roman" w:hAnsi="Times New Roman"/>
                <w:sz w:val="20"/>
              </w:rPr>
              <w:t>&lt;0,01</w:t>
            </w:r>
          </w:p>
        </w:tc>
      </w:tr>
    </w:tbl>
    <w:p/>
    <w:p>
      <w:r>
        <w:rPr>
          <w:rFonts w:ascii="Times New Roman" w:hAnsi="Times New Roman"/>
          <w:b/>
          <w:color w:val="0070C0"/>
          <w:sz w:val="24"/>
        </w:rPr>
        <w:t>Yếu tố liên quan (hồi quy logistic đa biến):</w:t>
      </w:r>
    </w:p>
    <w:p>
      <w:r>
        <w:rPr>
          <w:b/>
          <w:sz w:val="22"/>
          <w:rFonts w:ascii="Times New Roman" w:hAnsi="Times New Roman"/>
        </w:rPr>
        <w:t>Bảng 2. Vai trò trung gian</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835" w:type="dxa"/>
            <w:shd w:fill="D9E2F3" w:val="clear"/>
          </w:tcPr>
          <w:p>
            <w:pPr>
              <w:jc w:val="center"/>
            </w:pPr>
            <w:r>
              <w:rPr>
                <w:rFonts w:ascii="Times New Roman" w:hAnsi="Times New Roman"/>
                <w:b/>
                <w:sz w:val="20"/>
              </w:rPr>
              <w:t>Yếu tố</w:t>
            </w:r>
          </w:p>
        </w:tc>
        <w:tc>
          <w:tcPr>
            <w:tcW w:type="dxa" w:w="3135"/>
            <w:tcW w:w="1984" w:type="dxa"/>
            <w:shd w:fill="D9E2F3" w:val="clear"/>
          </w:tcPr>
          <w:p>
            <w:pPr>
              <w:jc w:val="center"/>
            </w:pPr>
            <w:r>
              <w:rPr>
                <w:rFonts w:ascii="Times New Roman" w:hAnsi="Times New Roman"/>
                <w:b/>
                <w:sz w:val="20"/>
              </w:rPr>
              <w:t>OR trầm cảm</w:t>
            </w:r>
          </w:p>
        </w:tc>
        <w:tc>
          <w:tcPr>
            <w:tcW w:type="dxa" w:w="3135"/>
            <w:tcW w:w="1984" w:type="dxa"/>
            <w:shd w:fill="D9E2F3" w:val="clear"/>
          </w:tcPr>
          <w:p>
            <w:pPr>
              <w:jc w:val="center"/>
            </w:pPr>
            <w:r>
              <w:rPr>
                <w:rFonts w:ascii="Times New Roman" w:hAnsi="Times New Roman"/>
                <w:b/>
                <w:sz w:val="20"/>
              </w:rPr>
              <w:t>OR lo âu</w:t>
            </w:r>
          </w:p>
        </w:tc>
      </w:tr>
      <w:tr>
        <w:tc>
          <w:tcPr>
            <w:tcW w:type="dxa" w:w="3135"/>
            <w:tcW w:w="2835" w:type="dxa"/>
          </w:tcPr>
          <w:p>
            <w:r>
              <w:rPr>
                <w:rFonts w:ascii="Times New Roman" w:hAnsi="Times New Roman"/>
                <w:sz w:val="20"/>
              </w:rPr>
              <w:t>Khả năng phục hồi thấp (vs cao)</w:t>
            </w:r>
          </w:p>
        </w:tc>
        <w:tc>
          <w:tcPr>
            <w:tcW w:type="dxa" w:w="3135"/>
            <w:tcW w:w="1984" w:type="dxa"/>
          </w:tcPr>
          <w:p>
            <w:r>
              <w:rPr>
                <w:rFonts w:ascii="Times New Roman" w:hAnsi="Times New Roman"/>
                <w:sz w:val="20"/>
              </w:rPr>
              <w:t>6,74</w:t>
            </w:r>
          </w:p>
        </w:tc>
        <w:tc>
          <w:tcPr>
            <w:tcW w:type="dxa" w:w="3135"/>
            <w:tcW w:w="1984" w:type="dxa"/>
          </w:tcPr>
          <w:p>
            <w:r>
              <w:rPr>
                <w:rFonts w:ascii="Times New Roman" w:hAnsi="Times New Roman"/>
                <w:sz w:val="20"/>
              </w:rPr>
              <w:t>2,80</w:t>
            </w:r>
          </w:p>
        </w:tc>
      </w:tr>
      <w:tr>
        <w:tc>
          <w:tcPr>
            <w:tcW w:type="dxa" w:w="3135"/>
            <w:tcW w:w="2835" w:type="dxa"/>
          </w:tcPr>
          <w:p>
            <w:r>
              <w:rPr>
                <w:rFonts w:ascii="Times New Roman" w:hAnsi="Times New Roman"/>
                <w:sz w:val="20"/>
              </w:rPr>
              <w:t>Nuôi dạy tiêu cực (vs trung bình)</w:t>
            </w:r>
          </w:p>
        </w:tc>
        <w:tc>
          <w:tcPr>
            <w:tcW w:type="dxa" w:w="3135"/>
            <w:tcW w:w="1984" w:type="dxa"/>
          </w:tcPr>
          <w:p>
            <w:r>
              <w:rPr>
                <w:rFonts w:ascii="Times New Roman" w:hAnsi="Times New Roman"/>
                <w:sz w:val="20"/>
              </w:rPr>
              <w:t>1,82</w:t>
            </w:r>
          </w:p>
        </w:tc>
        <w:tc>
          <w:tcPr>
            <w:tcW w:type="dxa" w:w="3135"/>
            <w:tcW w:w="1984" w:type="dxa"/>
          </w:tcPr>
          <w:p>
            <w:r>
              <w:rPr>
                <w:rFonts w:ascii="Times New Roman" w:hAnsi="Times New Roman"/>
                <w:sz w:val="20"/>
              </w:rPr>
              <w:t>2,01</w:t>
            </w:r>
          </w:p>
        </w:tc>
      </w:tr>
      <w:tr>
        <w:tc>
          <w:tcPr>
            <w:tcW w:type="dxa" w:w="3135"/>
            <w:tcW w:w="2835" w:type="dxa"/>
          </w:tcPr>
          <w:p>
            <w:r>
              <w:rPr>
                <w:rFonts w:ascii="Times New Roman" w:hAnsi="Times New Roman"/>
                <w:sz w:val="20"/>
              </w:rPr>
              <w:t>Nuôi dạy tích cực (vs trung bình)</w:t>
            </w:r>
          </w:p>
        </w:tc>
        <w:tc>
          <w:tcPr>
            <w:tcW w:type="dxa" w:w="3135"/>
            <w:tcW w:w="1984" w:type="dxa"/>
          </w:tcPr>
          <w:p>
            <w:r>
              <w:rPr>
                <w:rFonts w:ascii="Times New Roman" w:hAnsi="Times New Roman"/>
                <w:sz w:val="20"/>
              </w:rPr>
              <w:t>0,30 (bảo vệ)</w:t>
            </w:r>
          </w:p>
        </w:tc>
        <w:tc>
          <w:tcPr>
            <w:tcW w:type="dxa" w:w="3135"/>
            <w:tcW w:w="1984" w:type="dxa"/>
          </w:tcPr>
          <w:p>
            <w:r>
              <w:rPr>
                <w:rFonts w:ascii="Times New Roman" w:hAnsi="Times New Roman"/>
                <w:sz w:val="20"/>
              </w:rPr>
              <w:t>0,32 (bảo vệ)</w:t>
            </w:r>
          </w:p>
        </w:tc>
      </w:tr>
    </w:tbl>
    <w:p/>
    <w:p>
      <w:pPr>
        <w:pStyle w:val="Heading3"/>
      </w:pPr>
      <w:r>
        <w:rPr>
          <w:rFonts w:ascii="Times New Roman" w:hAnsi="Times New Roman"/>
          <w:color w:val="0070C0"/>
        </w:rPr>
        <w:t>Khác biệt giới tính : Nữ có tỷ lệ lo âu (17,5%) cao hơn nam (11,1%, P &lt; 0,01) — phù hợp xu hướng quốc tế.</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*Khả năng phục hồi thấp* là yếu tố nguy cơ mạnh nhất cho trầm cảm (OR = 6,74) — gợi ý can thiệp tăng cường khả năng phục hồi (resilience) có thể hiệu quả. *Nuôi dạy tích cực* giảm nguy cơ trầm cảm 70% (OR = 0,30) và lo âu 68% (OR = 0,32), tương tự phát hiện của Pham và cộng sự (2024) tại Việt Nam (chăm sóc cảm xúc beta = –0,40).</w:t>
      </w:r>
    </w:p>
    <w:p>
      <w:r>
        <w:rPr>
          <w:rFonts w:ascii="Times New Roman" w:hAnsi="Times New Roman"/>
          <w:b/>
          <w:color w:val="FF0000"/>
          <w:sz w:val="24"/>
        </w:rPr>
        <w:t>Kết luận</w:t>
      </w:r>
    </w:p>
    <w:p>
      <w:r>
        <w:rPr>
          <w:rFonts w:ascii="Times New Roman" w:hAnsi="Times New Roman"/>
          <w:b/>
          <w:color w:val="0070C0"/>
          <w:sz w:val="24"/>
        </w:rPr>
        <w:t>Trầm cảm 26% và lo âu 13,4% ở học sinh Trung Quốc. Khả năng phục hồi thấp (OR = 6,74) và nuôi dạy tiêu cực (OR = 2,01) là yếu tố nguy cơ mạnh nhất. Nuôi dạy tích cực là yếu tố bảo vệ quan trọng. Can thiệp cần nhắm vào cả gia đình (cải thiện phong cách nuôi dạy) và cá nhân (tăng cường resilience).</w:t>
      </w:r>
    </w:p>
    <w:p>
      <w:pPr>
        <w:pStyle w:val="Heading2"/>
      </w:pPr>
      <w:r>
        <w:rPr>
          <w:rFonts w:ascii="Times New Roman" w:hAnsi="Times New Roman"/>
          <w:color w:val="FF0000"/>
        </w:rPr>
        <w:t>Phản biện</w:t>
      </w:r>
    </w:p>
    <w:p>
      <w:r>
        <w:rPr>
          <w:rFonts w:ascii="Times New Roman" w:hAnsi="Times New Roman"/>
          <w:b w:val="0"/>
          <w:color w:val="0070C0"/>
          <w:sz w:val="24"/>
        </w:rPr>
        <w:t>Frontiers in Psychology (Q2, PubMed-indexed), LPA nâng cao. Tuy nhiên, cỡ mẫu chỉ ở 1 thành phố, nam chiếm 63,4% (thiên lệch giới), thiết kế cắt ngang, tương tác nuôi dạy × resilience không đạt ý nghĩa thống kê.</w:t>
      </w:r>
    </w:p>
    <w:p>
      <w:pPr>
        <w:pStyle w:val="Heading2"/>
      </w:pPr>
      <w:r>
        <w:rPr>
          <w:rFonts w:ascii="Times New Roman" w:hAnsi="Times New Roman"/>
          <w:color w:val="FF0000"/>
        </w:rPr>
        <w:t>Hướng nghiên cứu tiếp theo</w:t>
      </w:r>
    </w:p>
    <w:p>
      <w:r>
        <w:rPr>
          <w:rFonts w:ascii="Times New Roman" w:hAnsi="Times New Roman"/>
          <w:b w:val="0"/>
          <w:color w:val="0070C0"/>
          <w:sz w:val="24"/>
        </w:rPr>
        <w:t>Nghiên cứu dọc đánh giá tác động dài hạn của phong cách nuôi dạy. Can thiệp đào tạo phụ huynh kỹ năng nuôi dạy tích cực và đánh giá hiệu quả. Mở rộng đến nhiều thành phố với tỷ lệ giới cân bằng hơn.</w:t>
      </w:r>
    </w:p>
    <w:p/>
    <w:p>
      <w:r>
        <w:rPr>
          <w:rFonts w:ascii="Times New Roman" w:hAnsi="Times New Roman"/>
          <w:b/>
          <w:sz w:val="24"/>
        </w:rPr>
        <w:t>Đánh giá chất lượng: ⭐⭐⭐ Trung bình-Khá. LPA nâng cao, nhiều công cụ xác thực, nhưng 1 thành phố và thiên lệch giới.</w:t>
      </w:r>
    </w:p>
    <w:p/>
    <w:p>
      <w:pPr>
        <w:spacing w:line="360" w:lineRule="auto"/>
      </w:pPr>
      <w:r>
        <w:rPr>
          <w:rFonts w:ascii="Times New Roman" w:hAnsi="Times New Roman"/>
          <w:b/>
          <w:sz w:val="26"/>
        </w:rPr>
        <w:t>Tham khao</w:t>
      </w:r>
    </w:p>
    <w:p>
      <w:pPr>
        <w:spacing w:line="360" w:lineRule="auto"/>
      </w:pPr>
      <w:r>
        <w:rPr>
          <w:rFonts w:ascii="Times New Roman" w:hAnsi="Times New Roman"/>
          <w:sz w:val="24"/>
        </w:rPr>
        <w:t>Qiu et al. (2022). [Tieu de bai bao: [khong co trong canonical]]. [Tap chi/Nguon: [khong co trong canonical]], [vol/issue/pages: [khong co trong canonical]].</w:t>
      </w:r>
    </w:p>
    <w:p>
      <w:pPr>
        <w:spacing w:line="360" w:lineRule="auto"/>
      </w:pPr>
      <w:r>
        <w:rPr>
          <w:rFonts w:ascii="Times New Roman" w:hAnsi="Times New Roman"/>
          <w:sz w:val="24"/>
        </w:rPr>
        <w:t>PDF path: 02_Papers-goc/The-gioi_Khac/QT009_Qiu_et_al_2022_China_Parenting.pdf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