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QT-30</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 Xu hướng rối loạn trầm cảm và lo âu ở thanh thiếu niên và thanh niên (10–24 tuổi) từ 1990 đến 2021: Phân tích từ nghiên cứu Gánh nặng Bệnh tật Toàn cầu » (Trends in Depressive and Anxiety Disorders among Adolescents and Young Adults Aged 10–24 from 1990 to 2021: A GBD Study Analysis), do Zhang Dongjun, Wu Mingyue và cộng sự (2025), Đại học Y khoa Tân Hương, Trung Quốc, xuất bản trên Journal of Affective Disorders, 387:119491 (Q1, IF ≈ 6,6). Dữ liệu GBD 2021 từ 204 nước/vùng lãnh thổ. 14 trang, 2 bảng, 4 hình.</w:t>
      </w:r>
    </w:p>
    <w:p>
      <w:r>
        <w:rPr>
          <w:rFonts w:ascii="Times New Roman" w:hAnsi="Times New Roman"/>
          <w:b/>
          <w:color w:val="FF0000"/>
          <w:sz w:val="24"/>
        </w:rPr>
        <w:t>Phương pháp nghiên cứu</w:t>
      </w:r>
    </w:p>
    <w:p>
      <w:r>
        <w:rPr>
          <w:rFonts w:ascii="Times New Roman" w:hAnsi="Times New Roman"/>
          <w:b/>
          <w:color w:val="0070C0"/>
          <w:sz w:val="24"/>
        </w:rPr>
        <w:t>Công trình sử dụng dữ liệu Gánh nặng Bệnh tật Toàn cầu (GBD 2021) phân tích xu hướng tỷ suất mới mắc, tỷ lệ hiện mắc và DALYs cho trầm cảm và lo âu ở nhóm 10–24 tuổi. Nói cách khác, đây là phân tích xu hướng 31 năm (1990–2021) trên quy mô toàn cầu sử dụng hai phương pháp thống kê nâng cao: hồi quy Joinpoint và phân tích Tuổi-Giai đoạn-Đoàn hệ (APC).</w:t>
      </w:r>
    </w:p>
    <w:p>
      <w:r>
        <w:rPr>
          <w:rFonts w:ascii="Times New Roman" w:hAnsi="Times New Roman"/>
          <w:b w:val="0"/>
          <w:color w:val="0070C0"/>
          <w:sz w:val="24"/>
        </w:rPr>
        <w:t>Joinpoint regression xác định các điểm bẻ (inflection points) trong xu hướng dài hạn, ước tính AAPC (Average Annual Percent Change) cho từng giai đoạn. Bất bình đẳng giữa các nước được đánh giá bằng SII (slope index of inequality) và CI (concentration index).</w:t>
      </w:r>
    </w:p>
    <w:p>
      <w:r>
        <w:rPr>
          <w:rFonts w:ascii="Times New Roman" w:hAnsi="Times New Roman"/>
          <w:b/>
          <w:color w:val="FF0000"/>
          <w:sz w:val="24"/>
        </w:rPr>
        <w:t>Kết quả nghiên cứu định lượng</w:t>
      </w:r>
    </w:p>
    <w:p>
      <w:r>
        <w:rPr>
          <w:rFonts w:ascii="Times New Roman" w:hAnsi="Times New Roman"/>
          <w:b/>
          <w:color w:val="0070C0"/>
          <w:sz w:val="24"/>
        </w:rPr>
        <w:t>Bảng 1 (từ Table 1 gốc). Xu hướng toàn cầu 1990–2021:</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701" w:type="dxa"/>
            <w:shd w:fill="D9E2F3" w:val="clear"/>
          </w:tcPr>
          <w:p>
            <w:pPr>
              <w:jc w:val="center"/>
            </w:pPr>
            <w:r>
              <w:rPr>
                <w:rFonts w:ascii="Times New Roman" w:hAnsi="Times New Roman"/>
                <w:b/>
                <w:sz w:val="20"/>
              </w:rPr>
              <w:t>Rối loạn</w:t>
            </w:r>
          </w:p>
        </w:tc>
        <w:tc>
          <w:tcPr>
            <w:tcW w:type="dxa" w:w="1881"/>
            <w:tcW w:w="1417" w:type="dxa"/>
            <w:shd w:fill="D9E2F3" w:val="clear"/>
          </w:tcPr>
          <w:p>
            <w:pPr>
              <w:jc w:val="center"/>
            </w:pPr>
            <w:r>
              <w:rPr>
                <w:rFonts w:ascii="Times New Roman" w:hAnsi="Times New Roman"/>
                <w:b/>
                <w:sz w:val="20"/>
              </w:rPr>
              <w:t>Tỷ suất 1990</w:t>
              <w:br/>
              <w:t>(/100.000)</w:t>
            </w:r>
          </w:p>
        </w:tc>
        <w:tc>
          <w:tcPr>
            <w:tcW w:type="dxa" w:w="1881"/>
            <w:tcW w:w="1417" w:type="dxa"/>
            <w:shd w:fill="D9E2F3" w:val="clear"/>
          </w:tcPr>
          <w:p>
            <w:pPr>
              <w:jc w:val="center"/>
            </w:pPr>
            <w:r>
              <w:rPr>
                <w:rFonts w:ascii="Times New Roman" w:hAnsi="Times New Roman"/>
                <w:b/>
                <w:sz w:val="20"/>
              </w:rPr>
              <w:t>Tỷ suất 2021</w:t>
              <w:br/>
              <w:t>(/100.000)</w:t>
            </w:r>
          </w:p>
        </w:tc>
        <w:tc>
          <w:tcPr>
            <w:tcW w:type="dxa" w:w="1881"/>
            <w:tcW w:w="1417" w:type="dxa"/>
            <w:shd w:fill="D9E2F3" w:val="clear"/>
          </w:tcPr>
          <w:p>
            <w:pPr>
              <w:jc w:val="center"/>
            </w:pPr>
            <w:r>
              <w:rPr>
                <w:rFonts w:ascii="Times New Roman" w:hAnsi="Times New Roman"/>
                <w:b/>
                <w:sz w:val="20"/>
              </w:rPr>
              <w:t>AAPC</w:t>
              <w:br/>
              <w:t>(KTC 95%)</w:t>
            </w:r>
          </w:p>
        </w:tc>
        <w:tc>
          <w:tcPr>
            <w:tcW w:type="dxa" w:w="1881"/>
            <w:tcW w:w="1417" w:type="dxa"/>
            <w:shd w:fill="D9E2F3" w:val="clear"/>
          </w:tcPr>
          <w:p>
            <w:pPr>
              <w:jc w:val="center"/>
            </w:pPr>
            <w:r>
              <w:rPr>
                <w:rFonts w:ascii="Times New Roman" w:hAnsi="Times New Roman"/>
                <w:b/>
                <w:sz w:val="20"/>
              </w:rPr>
              <w:t>Xu hướng</w:t>
            </w:r>
          </w:p>
        </w:tc>
      </w:tr>
      <w:tr>
        <w:tc>
          <w:tcPr>
            <w:tcW w:type="dxa" w:w="1881"/>
            <w:tcW w:w="1701" w:type="dxa"/>
          </w:tcPr>
          <w:p>
            <w:r>
              <w:rPr>
                <w:rFonts w:ascii="Times New Roman" w:hAnsi="Times New Roman"/>
                <w:sz w:val="20"/>
              </w:rPr>
              <w:t>Trầm cảm (mới mắc)</w:t>
            </w:r>
          </w:p>
        </w:tc>
        <w:tc>
          <w:tcPr>
            <w:tcW w:type="dxa" w:w="1881"/>
            <w:tcW w:w="1417" w:type="dxa"/>
          </w:tcPr>
          <w:p>
            <w:r>
              <w:rPr>
                <w:rFonts w:ascii="Times New Roman" w:hAnsi="Times New Roman"/>
                <w:sz w:val="20"/>
              </w:rPr>
              <w:t>3.085,5</w:t>
            </w:r>
          </w:p>
        </w:tc>
        <w:tc>
          <w:tcPr>
            <w:tcW w:type="dxa" w:w="1881"/>
            <w:tcW w:w="1417" w:type="dxa"/>
          </w:tcPr>
          <w:p>
            <w:r>
              <w:rPr>
                <w:rFonts w:ascii="Times New Roman" w:hAnsi="Times New Roman"/>
                <w:sz w:val="20"/>
              </w:rPr>
              <w:t>3.909,9</w:t>
            </w:r>
          </w:p>
        </w:tc>
        <w:tc>
          <w:tcPr>
            <w:tcW w:type="dxa" w:w="1881"/>
            <w:tcW w:w="1417" w:type="dxa"/>
          </w:tcPr>
          <w:p>
            <w:r>
              <w:rPr>
                <w:rFonts w:ascii="Times New Roman" w:hAnsi="Times New Roman"/>
                <w:sz w:val="20"/>
              </w:rPr>
              <w:t>0,97 (0,75–1,19)</w:t>
            </w:r>
          </w:p>
        </w:tc>
        <w:tc>
          <w:tcPr>
            <w:tcW w:type="dxa" w:w="1881"/>
            <w:tcW w:w="1417" w:type="dxa"/>
          </w:tcPr>
          <w:p>
            <w:r>
              <w:rPr>
                <w:rFonts w:ascii="Times New Roman" w:hAnsi="Times New Roman"/>
                <w:sz w:val="20"/>
              </w:rPr>
              <w:t>Tăng</w:t>
            </w:r>
          </w:p>
        </w:tc>
      </w:tr>
      <w:tr>
        <w:tc>
          <w:tcPr>
            <w:tcW w:type="dxa" w:w="1881"/>
            <w:tcW w:w="1701" w:type="dxa"/>
          </w:tcPr>
          <w:p>
            <w:r>
              <w:rPr>
                <w:rFonts w:ascii="Times New Roman" w:hAnsi="Times New Roman"/>
                <w:sz w:val="20"/>
              </w:rPr>
              <w:t>Lo âu (mới mắc)</w:t>
            </w:r>
          </w:p>
        </w:tc>
        <w:tc>
          <w:tcPr>
            <w:tcW w:type="dxa" w:w="1881"/>
            <w:tcW w:w="1417" w:type="dxa"/>
          </w:tcPr>
          <w:p>
            <w:r>
              <w:rPr>
                <w:rFonts w:ascii="Times New Roman" w:hAnsi="Times New Roman"/>
                <w:sz w:val="20"/>
              </w:rPr>
              <w:t>708,0</w:t>
            </w:r>
          </w:p>
        </w:tc>
        <w:tc>
          <w:tcPr>
            <w:tcW w:type="dxa" w:w="1881"/>
            <w:tcW w:w="1417" w:type="dxa"/>
          </w:tcPr>
          <w:p>
            <w:r>
              <w:rPr>
                <w:rFonts w:ascii="Times New Roman" w:hAnsi="Times New Roman"/>
                <w:sz w:val="20"/>
              </w:rPr>
              <w:t>883,1</w:t>
            </w:r>
          </w:p>
        </w:tc>
        <w:tc>
          <w:tcPr>
            <w:tcW w:type="dxa" w:w="1881"/>
            <w:tcW w:w="1417" w:type="dxa"/>
          </w:tcPr>
          <w:p>
            <w:r>
              <w:rPr>
                <w:rFonts w:ascii="Times New Roman" w:hAnsi="Times New Roman"/>
                <w:sz w:val="20"/>
              </w:rPr>
              <w:t>0,84 (0,48–1,21)</w:t>
            </w:r>
          </w:p>
        </w:tc>
        <w:tc>
          <w:tcPr>
            <w:tcW w:type="dxa" w:w="1881"/>
            <w:tcW w:w="1417" w:type="dxa"/>
          </w:tcPr>
          <w:p>
            <w:r>
              <w:rPr>
                <w:rFonts w:ascii="Times New Roman" w:hAnsi="Times New Roman"/>
                <w:sz w:val="20"/>
              </w:rPr>
              <w:t>Tăng</w:t>
            </w:r>
          </w:p>
        </w:tc>
      </w:tr>
      <w:tr>
        <w:tc>
          <w:tcPr>
            <w:tcW w:type="dxa" w:w="1881"/>
            <w:tcW w:w="1701" w:type="dxa"/>
          </w:tcPr>
          <w:p>
            <w:r>
              <w:rPr>
                <w:rFonts w:ascii="Times New Roman" w:hAnsi="Times New Roman"/>
                <w:sz w:val="20"/>
              </w:rPr>
              <w:t>Trầm cảm (DALYs)</w:t>
            </w:r>
          </w:p>
        </w:tc>
        <w:tc>
          <w:tcPr>
            <w:tcW w:type="dxa" w:w="1881"/>
            <w:tcW w:w="1417" w:type="dxa"/>
          </w:tcPr>
          <w:p>
            <w:r>
              <w:rPr>
                <w:rFonts w:ascii="Times New Roman" w:hAnsi="Times New Roman"/>
                <w:sz w:val="20"/>
              </w:rPr>
              <w:t>—</w:t>
            </w:r>
          </w:p>
        </w:tc>
        <w:tc>
          <w:tcPr>
            <w:tcW w:type="dxa" w:w="1881"/>
            <w:tcW w:w="1417" w:type="dxa"/>
          </w:tcPr>
          <w:p>
            <w:r>
              <w:rPr>
                <w:rFonts w:ascii="Times New Roman" w:hAnsi="Times New Roman"/>
                <w:sz w:val="20"/>
              </w:rPr>
              <w:t>—</w:t>
            </w:r>
          </w:p>
        </w:tc>
        <w:tc>
          <w:tcPr>
            <w:tcW w:type="dxa" w:w="1881"/>
            <w:tcW w:w="1417" w:type="dxa"/>
          </w:tcPr>
          <w:p>
            <w:r>
              <w:rPr>
                <w:rFonts w:ascii="Times New Roman" w:hAnsi="Times New Roman"/>
                <w:sz w:val="20"/>
              </w:rPr>
              <w:t>Tăng 2014–2021</w:t>
            </w:r>
          </w:p>
        </w:tc>
        <w:tc>
          <w:tcPr>
            <w:tcW w:type="dxa" w:w="1881"/>
            <w:tcW w:w="1417" w:type="dxa"/>
          </w:tcPr>
          <w:p>
            <w:r>
              <w:rPr>
                <w:rFonts w:ascii="Times New Roman" w:hAnsi="Times New Roman"/>
                <w:sz w:val="20"/>
              </w:rPr>
              <w:t>Đỉnh 2019</w:t>
            </w:r>
          </w:p>
        </w:tc>
      </w:tr>
      <w:tr>
        <w:tc>
          <w:tcPr>
            <w:tcW w:type="dxa" w:w="1881"/>
            <w:tcW w:w="1701" w:type="dxa"/>
          </w:tcPr>
          <w:p>
            <w:r>
              <w:rPr>
                <w:rFonts w:ascii="Times New Roman" w:hAnsi="Times New Roman"/>
                <w:sz w:val="20"/>
              </w:rPr>
              <w:t>Lo âu (DALYs)</w:t>
            </w:r>
          </w:p>
        </w:tc>
        <w:tc>
          <w:tcPr>
            <w:tcW w:type="dxa" w:w="1881"/>
            <w:tcW w:w="1417" w:type="dxa"/>
          </w:tcPr>
          <w:p>
            <w:r>
              <w:rPr>
                <w:rFonts w:ascii="Times New Roman" w:hAnsi="Times New Roman"/>
                <w:sz w:val="20"/>
              </w:rPr>
              <w:t>—</w:t>
            </w:r>
          </w:p>
        </w:tc>
        <w:tc>
          <w:tcPr>
            <w:tcW w:type="dxa" w:w="1881"/>
            <w:tcW w:w="1417" w:type="dxa"/>
          </w:tcPr>
          <w:p>
            <w:r>
              <w:rPr>
                <w:rFonts w:ascii="Times New Roman" w:hAnsi="Times New Roman"/>
                <w:sz w:val="20"/>
              </w:rPr>
              <w:t>—</w:t>
            </w:r>
          </w:p>
        </w:tc>
        <w:tc>
          <w:tcPr>
            <w:tcW w:type="dxa" w:w="1881"/>
            <w:tcW w:w="1417" w:type="dxa"/>
          </w:tcPr>
          <w:p>
            <w:r>
              <w:rPr>
                <w:rFonts w:ascii="Times New Roman" w:hAnsi="Times New Roman"/>
                <w:sz w:val="20"/>
              </w:rPr>
              <w:t>Tăng 2014–2021</w:t>
            </w:r>
          </w:p>
        </w:tc>
        <w:tc>
          <w:tcPr>
            <w:tcW w:type="dxa" w:w="1881"/>
            <w:tcW w:w="1417" w:type="dxa"/>
          </w:tcPr>
          <w:p>
            <w:r>
              <w:rPr>
                <w:rFonts w:ascii="Times New Roman" w:hAnsi="Times New Roman"/>
                <w:sz w:val="20"/>
              </w:rPr>
              <w:t>Tăng mạnh sau 2019</w:t>
            </w:r>
          </w:p>
        </w:tc>
      </w:tr>
    </w:tbl>
    <w:p/>
    <w:p>
      <w:r>
        <w:rPr>
          <w:rFonts w:ascii="Times New Roman" w:hAnsi="Times New Roman"/>
          <w:b/>
          <w:color w:val="0070C0"/>
          <w:sz w:val="24"/>
        </w:rPr>
        <w:t>Bảng 2. Phân tầng theo giới, tuổi, vùng và SDI:</w:t>
      </w:r>
    </w:p>
    <w:tbl>
      <w:tblPr>
        <w:tblStyle w:val="TableGrid"/>
        <w:tblW w:type="auto" w:w="0"/>
        <w:jc w:val="center"/>
        <w:tblLook w:firstColumn="1" w:firstRow="1" w:lastColumn="0" w:lastRow="0" w:noHBand="0" w:noVBand="1" w:val="04A0"/>
      </w:tblPr>
      <w:tblGrid>
        <w:gridCol w:w="4702"/>
        <w:gridCol w:w="4702"/>
      </w:tblGrid>
      <w:tr>
        <w:tc>
          <w:tcPr>
            <w:tcW w:type="dxa" w:w="4702"/>
            <w:tcW w:w="2268" w:type="dxa"/>
            <w:shd w:fill="D9E2F3" w:val="clear"/>
          </w:tcPr>
          <w:p>
            <w:pPr>
              <w:jc w:val="center"/>
            </w:pPr>
            <w:r>
              <w:rPr>
                <w:rFonts w:ascii="Times New Roman" w:hAnsi="Times New Roman"/>
                <w:b/>
                <w:sz w:val="20"/>
              </w:rPr>
              <w:t>Phân tầng</w:t>
            </w:r>
          </w:p>
        </w:tc>
        <w:tc>
          <w:tcPr>
            <w:tcW w:type="dxa" w:w="4702"/>
            <w:tcW w:w="4819" w:type="dxa"/>
            <w:shd w:fill="D9E2F3" w:val="clear"/>
          </w:tcPr>
          <w:p>
            <w:pPr>
              <w:jc w:val="center"/>
            </w:pPr>
            <w:r>
              <w:rPr>
                <w:rFonts w:ascii="Times New Roman" w:hAnsi="Times New Roman"/>
                <w:b/>
                <w:sz w:val="20"/>
              </w:rPr>
              <w:t>Phát hiện chính</w:t>
            </w:r>
          </w:p>
        </w:tc>
      </w:tr>
      <w:tr>
        <w:tc>
          <w:tcPr>
            <w:tcW w:type="dxa" w:w="4702"/>
            <w:tcW w:w="2268" w:type="dxa"/>
          </w:tcPr>
          <w:p>
            <w:r>
              <w:rPr>
                <w:rFonts w:ascii="Times New Roman" w:hAnsi="Times New Roman"/>
                <w:sz w:val="20"/>
              </w:rPr>
              <w:t>Giới tính</w:t>
            </w:r>
          </w:p>
        </w:tc>
        <w:tc>
          <w:tcPr>
            <w:tcW w:type="dxa" w:w="4702"/>
            <w:tcW w:w="4819" w:type="dxa"/>
          </w:tcPr>
          <w:p>
            <w:r>
              <w:rPr>
                <w:rFonts w:ascii="Times New Roman" w:hAnsi="Times New Roman"/>
                <w:sz w:val="20"/>
              </w:rPr>
              <w:t>Nữ luôn cao hơn, nhưng tốc độ tăng trầm cảm ở NAM nhanh hơn</w:t>
            </w:r>
          </w:p>
        </w:tc>
      </w:tr>
      <w:tr>
        <w:tc>
          <w:tcPr>
            <w:tcW w:type="dxa" w:w="4702"/>
            <w:tcW w:w="2268" w:type="dxa"/>
          </w:tcPr>
          <w:p>
            <w:r>
              <w:rPr>
                <w:rFonts w:ascii="Times New Roman" w:hAnsi="Times New Roman"/>
                <w:sz w:val="20"/>
              </w:rPr>
              <w:t>Tuổi 10–14</w:t>
            </w:r>
          </w:p>
        </w:tc>
        <w:tc>
          <w:tcPr>
            <w:tcW w:type="dxa" w:w="4702"/>
            <w:tcW w:w="4819" w:type="dxa"/>
          </w:tcPr>
          <w:p>
            <w:r>
              <w:rPr>
                <w:rFonts w:ascii="Times New Roman" w:hAnsi="Times New Roman"/>
                <w:sz w:val="20"/>
              </w:rPr>
              <w:t>Tăng nhanh nhất cho trầm cảm</w:t>
            </w:r>
          </w:p>
        </w:tc>
      </w:tr>
      <w:tr>
        <w:tc>
          <w:tcPr>
            <w:tcW w:type="dxa" w:w="4702"/>
            <w:tcW w:w="2268" w:type="dxa"/>
          </w:tcPr>
          <w:p>
            <w:r>
              <w:rPr>
                <w:rFonts w:ascii="Times New Roman" w:hAnsi="Times New Roman"/>
                <w:sz w:val="20"/>
              </w:rPr>
              <w:t>Tuổi 20–24</w:t>
            </w:r>
          </w:p>
        </w:tc>
        <w:tc>
          <w:tcPr>
            <w:tcW w:type="dxa" w:w="4702"/>
            <w:tcW w:w="4819" w:type="dxa"/>
          </w:tcPr>
          <w:p>
            <w:r>
              <w:rPr>
                <w:rFonts w:ascii="Times New Roman" w:hAnsi="Times New Roman"/>
                <w:sz w:val="20"/>
              </w:rPr>
              <w:t>Tăng nhanh nhất cho lo âu</w:t>
            </w:r>
          </w:p>
        </w:tc>
      </w:tr>
      <w:tr>
        <w:tc>
          <w:tcPr>
            <w:tcW w:type="dxa" w:w="4702"/>
            <w:tcW w:w="2268" w:type="dxa"/>
          </w:tcPr>
          <w:p>
            <w:r>
              <w:rPr>
                <w:rFonts w:ascii="Times New Roman" w:hAnsi="Times New Roman"/>
                <w:sz w:val="20"/>
              </w:rPr>
              <w:t>SDI cao (nước giàu)</w:t>
            </w:r>
          </w:p>
        </w:tc>
        <w:tc>
          <w:tcPr>
            <w:tcW w:type="dxa" w:w="4702"/>
            <w:tcW w:w="4819" w:type="dxa"/>
          </w:tcPr>
          <w:p>
            <w:r>
              <w:rPr>
                <w:rFonts w:ascii="Times New Roman" w:hAnsi="Times New Roman"/>
                <w:sz w:val="20"/>
              </w:rPr>
              <w:t>Gánh nặng lớn nhất + tốc độ tăng nhanh nhất</w:t>
            </w:r>
          </w:p>
        </w:tc>
      </w:tr>
      <w:tr>
        <w:tc>
          <w:tcPr>
            <w:tcW w:type="dxa" w:w="4702"/>
            <w:tcW w:w="2268" w:type="dxa"/>
          </w:tcPr>
          <w:p>
            <w:r>
              <w:rPr>
                <w:rFonts w:ascii="Times New Roman" w:hAnsi="Times New Roman"/>
                <w:sz w:val="20"/>
              </w:rPr>
              <w:t>Đông Á</w:t>
            </w:r>
          </w:p>
        </w:tc>
        <w:tc>
          <w:tcPr>
            <w:tcW w:type="dxa" w:w="4702"/>
            <w:tcW w:w="4819" w:type="dxa"/>
          </w:tcPr>
          <w:p>
            <w:r>
              <w:rPr>
                <w:rFonts w:ascii="Times New Roman" w:hAnsi="Times New Roman"/>
                <w:sz w:val="20"/>
              </w:rPr>
              <w:t>Tốc độ tăng CHẬM NHẤT</w:t>
            </w:r>
          </w:p>
        </w:tc>
      </w:tr>
      <w:tr>
        <w:tc>
          <w:tcPr>
            <w:tcW w:type="dxa" w:w="4702"/>
            <w:tcW w:w="2268" w:type="dxa"/>
          </w:tcPr>
          <w:p>
            <w:r>
              <w:rPr>
                <w:rFonts w:ascii="Times New Roman" w:hAnsi="Times New Roman"/>
                <w:sz w:val="20"/>
              </w:rPr>
              <w:t>Bắc Mỹ thu nhập cao</w:t>
            </w:r>
          </w:p>
        </w:tc>
        <w:tc>
          <w:tcPr>
            <w:tcW w:type="dxa" w:w="4702"/>
            <w:tcW w:w="4819" w:type="dxa"/>
          </w:tcPr>
          <w:p>
            <w:r>
              <w:rPr>
                <w:rFonts w:ascii="Times New Roman" w:hAnsi="Times New Roman"/>
                <w:sz w:val="20"/>
              </w:rPr>
              <w:t>AAPC trầm cảm cao nhất: 2,30</w:t>
            </w:r>
          </w:p>
        </w:tc>
      </w:tr>
      <w:tr>
        <w:tc>
          <w:tcPr>
            <w:tcW w:type="dxa" w:w="4702"/>
            <w:tcW w:w="2268" w:type="dxa"/>
          </w:tcPr>
          <w:p>
            <w:r>
              <w:rPr>
                <w:rFonts w:ascii="Times New Roman" w:hAnsi="Times New Roman"/>
                <w:sz w:val="20"/>
              </w:rPr>
              <w:t>Mỹ Latinh Andes</w:t>
            </w:r>
          </w:p>
        </w:tc>
        <w:tc>
          <w:tcPr>
            <w:tcW w:type="dxa" w:w="4702"/>
            <w:tcW w:w="4819" w:type="dxa"/>
          </w:tcPr>
          <w:p>
            <w:r>
              <w:rPr>
                <w:rFonts w:ascii="Times New Roman" w:hAnsi="Times New Roman"/>
                <w:sz w:val="20"/>
              </w:rPr>
              <w:t>AAPC lo âu cao nhất: 1,91</w:t>
            </w:r>
          </w:p>
        </w:tc>
      </w:tr>
      <w:tr>
        <w:tc>
          <w:tcPr>
            <w:tcW w:type="dxa" w:w="4702"/>
            <w:tcW w:w="2268" w:type="dxa"/>
          </w:tcPr>
          <w:p>
            <w:r>
              <w:rPr>
                <w:rFonts w:ascii="Times New Roman" w:hAnsi="Times New Roman"/>
                <w:sz w:val="20"/>
              </w:rPr>
              <w:t>COVID-19 (2020–2021)</w:t>
            </w:r>
          </w:p>
        </w:tc>
        <w:tc>
          <w:tcPr>
            <w:tcW w:type="dxa" w:w="4702"/>
            <w:tcW w:w="4819" w:type="dxa"/>
          </w:tcPr>
          <w:p>
            <w:r>
              <w:rPr>
                <w:rFonts w:ascii="Times New Roman" w:hAnsi="Times New Roman"/>
                <w:sz w:val="20"/>
              </w:rPr>
              <w:t>Xu hướng tăng tăng tốc sau 2019</w:t>
            </w:r>
          </w:p>
        </w:tc>
      </w:tr>
    </w:tbl>
    <w:p/>
    <w:p>
      <w:pPr>
        <w:pStyle w:val="Heading3"/>
      </w:pPr>
      <w:r>
        <w:rPr>
          <w:rFonts w:ascii="Times New Roman" w:hAnsi="Times New Roman"/>
          <w:color w:val="0070C0"/>
        </w:rPr>
        <w:t>Đối chiếu liên bài : AAPC lo âu 0,84%/năm trong 31 năm nhất quán với JAACAP 2024 (Mỹ: tăng gấp đôi 8 năm), Na Uy 2025 (tăng 13 năm), Ireland 2024 (tăng 7 năm). Đáng chú ý, Đông Á tăng CHẬM NHẤT — có thể do hệ thống giáo dục tập trung + gia đình gắn kết. Tại VN, Hoàng Trung Học 2025 cho thấy lo âu giảm sau COVID (41,5% → 25,4%) — phù hợp xu hướng phục hồi tại châu Á.</w:t>
      </w:r>
    </w:p>
    <w:p>
      <w:r>
        <w:rPr>
          <w:rFonts w:ascii="Times New Roman" w:hAnsi="Times New Roman"/>
          <w:b/>
          <w:color w:val="FF0000"/>
          <w:sz w:val="24"/>
        </w:rPr>
        <w:t>Nhận xét, phát hiện qua kết quả nghiên cứu</w:t>
      </w:r>
    </w:p>
    <w:p>
      <w:r>
        <w:rPr>
          <w:rFonts w:ascii="Times New Roman" w:hAnsi="Times New Roman"/>
          <w:b w:val="0"/>
          <w:color w:val="0070C0"/>
          <w:sz w:val="24"/>
        </w:rPr>
        <w:t>*Tăng tốc sau 2014.* Joinpoint xác định điểm bẻ 2014 — gánh nặng tăng nhanh từ đó. Trùng với sự phổ biến của smartphone/MXH (phù hợp Nature 2025, Norway 2025).</w:t>
      </w:r>
    </w:p>
    <w:p>
      <w:r>
        <w:rPr>
          <w:rFonts w:ascii="Times New Roman" w:hAnsi="Times New Roman"/>
          <w:b w:val="0"/>
          <w:color w:val="0070C0"/>
          <w:sz w:val="24"/>
        </w:rPr>
        <w:t>*SDI cao gánh nặng lớn nhất.* Nghịch lý: nước giàu có dịch vụ tốt nhưng gánh nặng lo âu cao nhất. Có thể do phát hiện tốt hơn + áp lực xã hội hiện đại.</w:t>
      </w:r>
    </w:p>
    <w:p>
      <w:r>
        <w:rPr>
          <w:rFonts w:ascii="Times New Roman" w:hAnsi="Times New Roman"/>
          <w:b w:val="0"/>
          <w:color w:val="0070C0"/>
          <w:sz w:val="24"/>
        </w:rPr>
        <w:t>*Bất bình đẳng tuyệt đối mở rộng.* SII cho thấy khoảng cách giàu-nghèo về gánh nặng SKTT tăng theo thời gian.</w:t>
      </w:r>
    </w:p>
    <w:p>
      <w:r>
        <w:rPr>
          <w:rFonts w:ascii="Times New Roman" w:hAnsi="Times New Roman"/>
          <w:b/>
          <w:color w:val="FF0000"/>
          <w:sz w:val="24"/>
        </w:rPr>
        <w:t>Kết luận</w:t>
      </w:r>
    </w:p>
    <w:p>
      <w:r>
        <w:rPr>
          <w:rFonts w:ascii="Times New Roman" w:hAnsi="Times New Roman"/>
          <w:b/>
          <w:color w:val="0070C0"/>
          <w:sz w:val="24"/>
        </w:rPr>
        <w:t>Dữ liệu GBD 2021 từ 204 nước, cho thấy gánh nặng trầm cảm và lo âu ở VTN 10–24 tuổi tăng liên tục 31 năm (AAPC 0,84–0,97%), tăng tốc mạnh sau 2014, với nước SDI cao gánh nặng lớn nhất và Đông Á chậm nhất, gợi ý rằng xu hướng tăng là toàn cầu nhưng tốc độ phụ thuộc bối cảnh kinh tế xã hội — VN cần theo dõi xu hướng dài hạn để can thiệp kịp thời.</w:t>
      </w:r>
    </w:p>
    <w:p>
      <w:pPr>
        <w:pStyle w:val="Heading2"/>
      </w:pPr>
      <w:r>
        <w:rPr>
          <w:rFonts w:ascii="Times New Roman" w:hAnsi="Times New Roman"/>
          <w:color w:val="FF0000"/>
        </w:rPr>
        <w:t>Phản biện</w:t>
      </w:r>
    </w:p>
    <w:p>
      <w:r>
        <w:rPr>
          <w:rFonts w:ascii="Times New Roman" w:hAnsi="Times New Roman"/>
          <w:b w:val="0"/>
          <w:color w:val="0070C0"/>
          <w:sz w:val="24"/>
        </w:rPr>
        <w:t>J Affect Disord Q1 IF = 6,6. GBD 2021, 204 nước, 31 năm, Joinpoint + APC nâng cao. Tuy nhiên, GBD phụ thuộc dữ liệu báo cáo quốc gia (VN thiếu dữ liệu chất lượng). Tăng có thể phản ánh tăng phát hiện + tăng thực. COVID-19 (2020–2021) ảnh hưởng mạnh nhưng chỉ 2 năm dữ liệu.</w:t>
      </w:r>
    </w:p>
    <w:p>
      <w:pPr>
        <w:pStyle w:val="Heading2"/>
      </w:pPr>
      <w:r>
        <w:rPr>
          <w:rFonts w:ascii="Times New Roman" w:hAnsi="Times New Roman"/>
          <w:color w:val="FF0000"/>
        </w:rPr>
        <w:t>Hướng nghiên cứu tiếp theo</w:t>
      </w:r>
    </w:p>
    <w:p>
      <w:r>
        <w:rPr>
          <w:rFonts w:ascii="Times New Roman" w:hAnsi="Times New Roman"/>
          <w:b w:val="0"/>
          <w:color w:val="0070C0"/>
          <w:sz w:val="24"/>
        </w:rPr>
        <w:t>Phân tích riêng ASEAN/VN từ GBD. Giải thích tại sao Đông Á tăng chậm nhất. Đánh giá tác động COVID dài hạn (GBD 2024+).</w:t>
      </w:r>
    </w:p>
    <w:p>
      <w:r>
        <w:rPr>
          <w:rFonts w:ascii="Times New Roman" w:hAnsi="Times New Roman"/>
          <w:b/>
          <w:sz w:val="24"/>
        </w:rPr>
        <w:t>Đánh giá: ⭐⭐⭐⭐⭐ Rất cao. Q1 IF=6,6, GBD 204 nước, 31 năm, Joinpoint+APC.</w:t>
      </w:r>
    </w:p>
    <w:p/>
    <w:p>
      <w:pPr>
        <w:spacing w:line="360" w:lineRule="auto"/>
      </w:pPr>
      <w:r>
        <w:rPr>
          <w:rFonts w:ascii="Times New Roman" w:hAnsi="Times New Roman"/>
          <w:b/>
          <w:sz w:val="26"/>
        </w:rPr>
        <w:t>Tham khao</w:t>
      </w:r>
    </w:p>
    <w:p>
      <w:pPr>
        <w:spacing w:line="360" w:lineRule="auto"/>
      </w:pPr>
      <w:r>
        <w:rPr>
          <w:rFonts w:ascii="Times New Roman" w:hAnsi="Times New Roman"/>
          <w:sz w:val="24"/>
        </w:rPr>
        <w:t>GBD Trends 10-24y (2025). [Tieu de bai bao: [khong co trong canonical]]. [Tap chi/Nguon: [khong co trong canonical]], [vol/issue/pages: [khong co trong canonical]].</w:t>
      </w:r>
    </w:p>
    <w:p>
      <w:pPr>
        <w:spacing w:line="360" w:lineRule="auto"/>
      </w:pPr>
      <w:r>
        <w:rPr>
          <w:rFonts w:ascii="Times New Roman" w:hAnsi="Times New Roman"/>
          <w:sz w:val="24"/>
        </w:rPr>
        <w:t>PDF path: 02_Papers-goc/The-gioi_Khac/QT030_GBD_Trends_10-24y_2025.pdf</w:t>
      </w:r>
    </w:p>
    <w:p>
      <w:pPr>
        <w:spacing w:line="360" w:lineRule="auto"/>
      </w:pPr>
      <w:r>
        <w:rPr>
          <w:rFonts w:ascii="Times New Roman" w:hAnsi="Times New Roman"/>
          <w:sz w:val="24"/>
        </w:rPr>
        <w:t>DOI: [khong co trong canonical] | PMID: [khong co trong canonical]</w:t>
      </w:r>
    </w:p>
    <w:p/>
    <w:p>
      <w:pPr>
        <w:spacing w:line="360" w:lineRule="auto"/>
      </w:pPr>
      <w:r>
        <w:rPr>
          <w:rFonts w:ascii="Times New Roman" w:hAnsi="Times New Roman"/>
          <w:sz w:val="24"/>
        </w:rPr>
        <w:t>Bo sung Tham khao 07/06/2026 (auto-fill tu canonical_index)</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cp:coreProperties>
</file>