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70C0"/>
          <w:sz w:val="24"/>
        </w:rPr>
        <w:t>Tóm tắt bài QT-31</w:t>
      </w:r>
    </w:p>
    <w:p>
      <w:r>
        <w:rPr>
          <w:rFonts w:ascii="Times New Roman" w:hAnsi="Times New Roman"/>
          <w:b/>
          <w:color w:val="FF0000"/>
          <w:sz w:val="24"/>
        </w:rPr>
        <w:t>Tên công trình, tác giả, năm, mẫu khảo sát, đối tượng, khách thể, địa bàn khảo sát</w:t>
      </w:r>
    </w:p>
    <w:p>
      <w:r>
        <w:rPr>
          <w:rFonts w:ascii="Times New Roman" w:hAnsi="Times New Roman"/>
          <w:b w:val="0"/>
          <w:color w:val="0070C0"/>
          <w:sz w:val="24"/>
        </w:rPr>
        <w:t>Công trình « Tỷ lệ và các yếu tố liên quan của lo âu ở thanh thiếu niên đi học: Phân tích từ 59 quốc gia » (Prevalence of and Factors Associated with Anxiety among School Going Adolescents: Analysis from 59 Countries), do Islam MA và cộng sự (2025), xuất bản trên Journal of Affective Disorders (Q1, IF ≈ 6,6). Dữ liệu GSHS (Global School-based Student Health Survey) từ 59 quốc gia. 11 trang, 4 bảng.</w:t>
      </w:r>
    </w:p>
    <w:p>
      <w:r>
        <w:rPr>
          <w:rFonts w:ascii="Times New Roman" w:hAnsi="Times New Roman"/>
          <w:b/>
          <w:color w:val="FF0000"/>
          <w:sz w:val="24"/>
        </w:rPr>
        <w:t>Phương pháp nghiên cứu</w:t>
      </w:r>
    </w:p>
    <w:p>
      <w:r>
        <w:rPr>
          <w:rFonts w:ascii="Times New Roman" w:hAnsi="Times New Roman"/>
          <w:b/>
          <w:color w:val="0070C0"/>
          <w:sz w:val="24"/>
        </w:rPr>
        <w:t>Công trình sử dụng dữ liệu Khảo sát Sức khỏe Học sinh Toàn cầu Tại Trường học (GSHS — Global School-based Student Health Survey) do WHO phối hợp CDC Hoa Kỳ triển khai. Nói cách khác, đây là phân tích đa quốc gia lớn nhất về lo âu ở VTN đi học, sử dụng dữ liệu chuẩn hóa quốc tế từ 59 nước.</w:t>
      </w:r>
    </w:p>
    <w:p>
      <w:r>
        <w:rPr>
          <w:rFonts w:ascii="Times New Roman" w:hAnsi="Times New Roman"/>
          <w:b/>
          <w:color w:val="FF0000"/>
          <w:sz w:val="24"/>
        </w:rPr>
        <w:t>Kết quả nghiên cứu định lượng</w:t>
      </w:r>
    </w:p>
    <w:p>
      <w:r>
        <w:rPr>
          <w:rFonts w:ascii="Times New Roman" w:hAnsi="Times New Roman"/>
          <w:b/>
          <w:color w:val="0070C0"/>
          <w:sz w:val="24"/>
        </w:rPr>
        <w:t>Bảng 1 (từ Table 2 gốc). Tỷ lệ lo âu theo vùng WHO: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Vùng WHO</w:t>
            </w:r>
          </w:p>
        </w:tc>
        <w:tc>
          <w:tcPr>
            <w:tcW w:type="dxa" w:w="3135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 lo âu</w:t>
            </w:r>
          </w:p>
        </w:tc>
        <w:tc>
          <w:tcPr>
            <w:tcW w:type="dxa" w:w="3135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So sánh</w:t>
            </w:r>
          </w:p>
        </w:tc>
      </w:tr>
      <w:tr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Đông Địa Trung Hải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14,6%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CAO NHẤT</w:t>
            </w:r>
          </w:p>
        </w:tc>
      </w:tr>
      <w:tr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Châu Phi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11,0%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Thứ 2</w:t>
            </w:r>
          </w:p>
        </w:tc>
      </w:tr>
      <w:tr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Châu Mỹ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~8–10%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Châu Âu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~6–8%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Tây Thái Bình Dương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~5–8%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Đông Nam Á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3,6%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THẤP NHẤT</w:t>
            </w:r>
          </w:p>
        </w:tc>
      </w:tr>
    </w:tbl>
    <w:p/>
    <w:p>
      <w:r>
        <w:rPr>
          <w:rFonts w:ascii="Times New Roman" w:hAnsi="Times New Roman"/>
          <w:b/>
          <w:color w:val="0070C0"/>
          <w:sz w:val="24"/>
        </w:rPr>
        <w:t>Bảng 2 (từ Table 3 gốc). Yếu tố liên quan đa quốc gia: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Yếu tố</w:t>
            </w:r>
          </w:p>
        </w:tc>
        <w:tc>
          <w:tcPr>
            <w:tcW w:type="dxa" w:w="3135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Hướng tác động</w:t>
            </w:r>
          </w:p>
        </w:tc>
        <w:tc>
          <w:tcPr>
            <w:tcW w:type="dxa" w:w="3135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Mức liên quan</w:t>
            </w:r>
          </w:p>
        </w:tc>
      </w:tr>
      <w:tr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Bị bắt nạt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Tăng lo âu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Mạnh, nhất quán liên quốc gia</w:t>
            </w:r>
          </w:p>
        </w:tc>
      </w:tr>
      <w:tr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Cô đơn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Tăng lo âu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Mạnh</w:t>
            </w:r>
          </w:p>
        </w:tc>
      </w:tr>
      <w:tr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Thiếu bạn thân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Tăng lo âu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</w:tr>
      <w:tr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Hỗ trợ cha mẹ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Giảm lo âu (bảo vệ)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Mạnh, nhất quán</w:t>
            </w:r>
          </w:p>
        </w:tc>
      </w:tr>
      <w:tr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Giáo dục cha mẹ cao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Giảm lo âu (bảo vệ)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</w:tr>
    </w:tbl>
    <w:p/>
    <w:p>
      <w:r>
        <w:rPr>
          <w:rFonts w:ascii="Times New Roman" w:hAnsi="Times New Roman"/>
          <w:b/>
          <w:color w:val="0070C0"/>
          <w:sz w:val="24"/>
        </w:rPr>
        <w:t>Bảng 3. So sánh tỷ lệ lo âu: GSHS vs NC khác tại cùng vùng: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Nguồn</w:t>
            </w:r>
          </w:p>
        </w:tc>
        <w:tc>
          <w:tcPr>
            <w:tcW w:type="dxa" w:w="188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Vùng</w:t>
            </w:r>
          </w:p>
        </w:tc>
        <w:tc>
          <w:tcPr>
            <w:tcW w:type="dxa" w:w="188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 lo âu</w:t>
            </w:r>
          </w:p>
        </w:tc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Công cụ</w:t>
            </w:r>
          </w:p>
        </w:tc>
        <w:tc>
          <w:tcPr>
            <w:tcW w:type="dxa" w:w="188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Giải thích chênh lệch</w:t>
            </w:r>
          </w:p>
        </w:tc>
      </w:tr>
      <w:tr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GSHS (bài này)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ĐNA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3,6%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GSHS (1–2 câu)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Ngưỡng cao, ít câu</w:t>
            </w:r>
          </w:p>
        </w:tc>
      </w:tr>
      <w:tr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V-NAMHS 2022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VN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2,3% (chẩn đoán)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DISC-5/DSM-5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Chẩn đoán chuẩn</w:t>
            </w:r>
          </w:p>
        </w:tc>
      </w:tr>
      <w:tr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Hoa 2024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VN (Hà Nội)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40,6%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GAD-7 (≥5)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Sàng lọc, ngưỡng thấp</w:t>
            </w:r>
          </w:p>
        </w:tc>
      </w:tr>
      <w:tr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Xu 2021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TQ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9,89%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GAD-7 (≥10)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Ngưỡng trung bình</w:t>
            </w:r>
          </w:p>
        </w:tc>
      </w:tr>
      <w:tr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GBD 2025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Toàn cầu</w:t>
            </w:r>
          </w:p>
        </w:tc>
        <w:tc>
          <w:tcPr>
            <w:tcW w:type="dxa" w:w="188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3,6–4,6%</w:t>
            </w:r>
          </w:p>
        </w:tc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GBD estimates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Ước tính mô hình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70C0"/>
        </w:rPr>
        <w:t>Đối chiếu liên bài : ĐNA có tỷ lệ THẤP NHẤT (3,6%) — nhưng điều này có thể do GSHS chỉ dùng 1–2 câu hỏi lo âu (không phải thang chuẩn GAD-7 hay DASS-21). So với GAD-7 tại VN (Hoa 2024: 40,6%) hay DASS-21 (Bảo Quyên: 86,2%), sự chênh lệch 10–24 lần nhấn mạnh vai trò công cụ đo lường.</w:t>
      </w:r>
    </w:p>
    <w:p>
      <w:r>
        <w:rPr>
          <w:rFonts w:ascii="Times New Roman" w:hAnsi="Times New Roman"/>
          <w:b/>
          <w:color w:val="FF0000"/>
          <w:sz w:val="24"/>
        </w:rPr>
        <w:t>Nhận xét, phát hiện qua kết quả nghiên cứu</w:t>
      </w:r>
    </w:p>
    <w:p>
      <w:r>
        <w:rPr>
          <w:rFonts w:ascii="Times New Roman" w:hAnsi="Times New Roman"/>
          <w:b w:val="0"/>
          <w:color w:val="0070C0"/>
          <w:sz w:val="24"/>
        </w:rPr>
        <w:t>*ĐNA thấp nhất.* Có thể do (1) GSHS ít câu hỏi, (2) văn hóa Á Đông ít báo cáo lo âu, (3) hoặc thực sự thấp hơn. Cần NC xác nhận bằng GAD-7 trên cùng mẫu GSHS.</w:t>
      </w:r>
    </w:p>
    <w:p>
      <w:r>
        <w:rPr>
          <w:rFonts w:ascii="Times New Roman" w:hAnsi="Times New Roman"/>
          <w:b w:val="0"/>
          <w:color w:val="0070C0"/>
          <w:sz w:val="24"/>
        </w:rPr>
        <w:t>*Bắt nạt và cô đơn.* Yếu tố nguy cơ nhất quán liên quốc gia, phù hợp Chen 2023 (bắt nạt OR = 1,51–1,97) và Ngo Anh Vinh 2024 (bạn bè kém OR = 6,84).</w:t>
      </w:r>
    </w:p>
    <w:p>
      <w:r>
        <w:rPr>
          <w:rFonts w:ascii="Times New Roman" w:hAnsi="Times New Roman"/>
          <w:b w:val="0"/>
          <w:color w:val="0070C0"/>
          <w:sz w:val="24"/>
        </w:rPr>
        <w:t>*Hỗ trợ cha mẹ bảo vệ.* Phù hợp Pham 2024 VN (chăm sóc cảm xúc beta = –0,40) và Qiu 2022 (nuôi dạy tích cực OR = 0,30).</w:t>
      </w:r>
    </w:p>
    <w:p>
      <w:r>
        <w:rPr>
          <w:rFonts w:ascii="Times New Roman" w:hAnsi="Times New Roman"/>
          <w:b/>
          <w:color w:val="FF0000"/>
          <w:sz w:val="24"/>
        </w:rPr>
        <w:t>Kết luận</w:t>
      </w:r>
    </w:p>
    <w:p>
      <w:r>
        <w:rPr>
          <w:rFonts w:ascii="Times New Roman" w:hAnsi="Times New Roman"/>
          <w:b/>
          <w:color w:val="0070C0"/>
          <w:sz w:val="24"/>
        </w:rPr>
        <w:t>Dữ liệu GSHS từ 59 quốc gia, cho thấy ĐNA có tỷ lệ lo âu thấp nhất (3,6%) nhưng bắt nạt, cô đơn và thiếu hỗ trợ cha mẹ là yếu tố nguy cơ nhất quán liên quốc gia, gợi ý rằng can thiệp chống bắt nạt và tăng cường gắn kết gia đình có thể hiệu quả ở mọi bối cảnh văn hóa.</w:t>
      </w:r>
    </w:p>
    <w:p>
      <w:pPr>
        <w:pStyle w:val="Heading2"/>
      </w:pPr>
      <w:r>
        <w:rPr>
          <w:rFonts w:ascii="Times New Roman" w:hAnsi="Times New Roman"/>
          <w:color w:val="FF0000"/>
        </w:rPr>
        <w:t>Phản biện</w:t>
      </w:r>
    </w:p>
    <w:p>
      <w:r>
        <w:rPr>
          <w:rFonts w:ascii="Times New Roman" w:hAnsi="Times New Roman"/>
          <w:b w:val="0"/>
          <w:color w:val="0070C0"/>
          <w:sz w:val="24"/>
        </w:rPr>
        <w:t>Q1 IF = 6,6, 59 nước, GSHS chuẩn hóa. Tuy nhiên, GSHS chỉ 1–2 câu lo âu (không phải GAD-7) — đánh giá thấp. Cắt ngang. Dữ liệu GSHS có thể cũ (thu thập nhiều năm).</w:t>
      </w:r>
    </w:p>
    <w:p>
      <w:pPr>
        <w:pStyle w:val="Heading2"/>
      </w:pPr>
      <w:r>
        <w:rPr>
          <w:rFonts w:ascii="Times New Roman" w:hAnsi="Times New Roman"/>
          <w:color w:val="FF0000"/>
        </w:rPr>
        <w:t>Hướng nghiên cứu tiếp theo</w:t>
      </w:r>
    </w:p>
    <w:p>
      <w:r>
        <w:rPr>
          <w:rFonts w:ascii="Times New Roman" w:hAnsi="Times New Roman"/>
          <w:b w:val="0"/>
          <w:color w:val="0070C0"/>
          <w:sz w:val="24"/>
        </w:rPr>
        <w:t>So sánh GSHS vs GAD-7 trên cùng mẫu VTN ĐNA. Giải thích tại sao ĐNA thấp nhất. Phân tích riêng VN trong GSHS.</w:t>
      </w:r>
    </w:p>
    <w:p>
      <w:r>
        <w:rPr>
          <w:rFonts w:ascii="Times New Roman" w:hAnsi="Times New Roman"/>
          <w:b/>
          <w:sz w:val="24"/>
        </w:rPr>
        <w:t>Đánh giá: ⭐⭐⭐⭐ Cao. Q1, 59 nước, GSHS chuẩn hóa, nhưng công cụ đo hạn chế.</w:t>
      </w:r>
    </w:p>
    <w:p/>
    <w:p>
      <w:pPr>
        <w:spacing w:line="360" w:lineRule="auto"/>
      </w:pPr>
      <w:r>
        <w:rPr>
          <w:rFonts w:ascii="Times New Roman" w:hAnsi="Times New Roman"/>
          <w:b/>
          <w:sz w:val="26"/>
        </w:rPr>
        <w:t>Tham khao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Islam &amp; 59Countries (2025). [Tieu de bai bao: [khong co trong canonical]]. [Tap chi/Nguon: [khong co trong canonical]], [vol/issue/pages: [khong co trong canonical]].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PDF path: 02_Papers-goc/The-gioi_Khac/QT031_Islam_59Countries_2025.pdf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DOI: [khong co trong canonical] | PMID: [khong co trong canonical]</w:t>
      </w:r>
    </w:p>
    <w:p/>
    <w:p>
      <w:pPr>
        <w:spacing w:line="360" w:lineRule="auto"/>
      </w:pPr>
      <w:r>
        <w:rPr>
          <w:rFonts w:ascii="Times New Roman" w:hAnsi="Times New Roman"/>
          <w:sz w:val="24"/>
        </w:rPr>
        <w:t>Bo sung Tham khao 07/06/2026 (auto-fill tu canonical_index)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</cp:coreProperties>
</file>