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QT-33</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 Sử dụng phương tiện màn hình và sức khỏe tâm thần trẻ em và thanh thiếu niên: Phân tích thứ cấp từ thử nghiệm lâm sàng ngẫu nhiên » (Screen Media Use and Mental Health of Children and Adolescents: A Secondary Analysis of a Randomized Clinical Trial), do Schmidt-Persson J và cộng sự (2024), xuất bản trên JAMA Network Open (Q1, IF ≈ 13,0). Đan Mạch. 12 trang, 3 bảng, 3 hình.</w:t>
      </w:r>
    </w:p>
    <w:p>
      <w:r>
        <w:rPr>
          <w:rFonts w:ascii="Times New Roman" w:hAnsi="Times New Roman"/>
          <w:b/>
          <w:color w:val="FF0000"/>
          <w:sz w:val="24"/>
        </w:rPr>
        <w:t>Phương pháp nghiên cứu</w:t>
      </w:r>
    </w:p>
    <w:p>
      <w:r>
        <w:rPr>
          <w:rFonts w:ascii="Times New Roman" w:hAnsi="Times New Roman"/>
          <w:b/>
          <w:color w:val="0070C0"/>
          <w:sz w:val="24"/>
        </w:rPr>
        <w:t>Phân tích thứ cấp từ thử nghiệm lâm sàng ngẫu nhiên (RCT) — bằng chứng nhân quả MẠNH HƠN nghiên cứu quan sát. Nói cách khác, thay vì chỉ hỏi "VTN dùng màn hình nhiều có lo âu hơn không?", nghiên cứu này CAN THIỆP giảm screen time và đo tác động lên SKTT.</w:t>
      </w:r>
    </w:p>
    <w:p>
      <w:r>
        <w:rPr>
          <w:rFonts w:ascii="Times New Roman" w:hAnsi="Times New Roman"/>
          <w:b/>
          <w:color w:val="0070C0"/>
          <w:sz w:val="24"/>
        </w:rPr>
        <w:t>Tổng quan tài liệu cho thấy đa số NC về screen time là cắt ngang hoặc dọc quan sát. JAMA (IF = 13) công bố bằng chứng từ RCT — cấp độ bằng chứng cao nhất trong y học.</w:t>
      </w:r>
    </w:p>
    <w:p>
      <w:r>
        <w:rPr>
          <w:rFonts w:ascii="Times New Roman" w:hAnsi="Times New Roman"/>
          <w:b/>
          <w:color w:val="FF0000"/>
          <w:sz w:val="24"/>
        </w:rPr>
        <w:t>Kết quả nghiên cứu định lượng</w:t>
      </w:r>
    </w:p>
    <w:p>
      <w:r>
        <w:rPr>
          <w:rFonts w:ascii="Times New Roman" w:hAnsi="Times New Roman"/>
          <w:b/>
          <w:color w:val="0070C0"/>
          <w:sz w:val="24"/>
        </w:rPr>
        <w:t>Bảng 1 (từ Table 1 gốc). Đặc điểm mẫu và thiết kế:</w:t>
      </w:r>
    </w:p>
    <w:tbl>
      <w:tblPr>
        <w:tblStyle w:val="TableGrid"/>
        <w:tblW w:type="auto" w:w="0"/>
        <w:jc w:val="center"/>
        <w:tblLook w:firstColumn="1" w:firstRow="1" w:lastColumn="0" w:lastRow="0" w:noHBand="0" w:noVBand="1" w:val="04A0"/>
      </w:tblPr>
      <w:tblGrid>
        <w:gridCol w:w="4702"/>
        <w:gridCol w:w="4702"/>
      </w:tblGrid>
      <w:tr>
        <w:tc>
          <w:tcPr>
            <w:tcW w:type="dxa" w:w="4702"/>
            <w:tcW w:w="2268" w:type="dxa"/>
            <w:shd w:fill="D9E2F3" w:val="clear"/>
          </w:tcPr>
          <w:p>
            <w:pPr>
              <w:jc w:val="center"/>
            </w:pPr>
            <w:r>
              <w:rPr>
                <w:rFonts w:ascii="Times New Roman" w:hAnsi="Times New Roman"/>
                <w:b/>
                <w:sz w:val="20"/>
              </w:rPr>
              <w:t>Đặc điểm</w:t>
            </w:r>
          </w:p>
        </w:tc>
        <w:tc>
          <w:tcPr>
            <w:tcW w:type="dxa" w:w="4702"/>
            <w:tcW w:w="4819" w:type="dxa"/>
            <w:shd w:fill="D9E2F3" w:val="clear"/>
          </w:tcPr>
          <w:p>
            <w:pPr>
              <w:jc w:val="center"/>
            </w:pPr>
            <w:r>
              <w:rPr>
                <w:rFonts w:ascii="Times New Roman" w:hAnsi="Times New Roman"/>
                <w:b/>
                <w:sz w:val="20"/>
              </w:rPr>
              <w:t>Giá trị</w:t>
            </w:r>
          </w:p>
        </w:tc>
      </w:tr>
      <w:tr>
        <w:tc>
          <w:tcPr>
            <w:tcW w:type="dxa" w:w="4702"/>
            <w:tcW w:w="2268" w:type="dxa"/>
          </w:tcPr>
          <w:p>
            <w:r>
              <w:rPr>
                <w:rFonts w:ascii="Times New Roman" w:hAnsi="Times New Roman"/>
                <w:sz w:val="20"/>
              </w:rPr>
              <w:t>Thiết kế</w:t>
            </w:r>
          </w:p>
        </w:tc>
        <w:tc>
          <w:tcPr>
            <w:tcW w:type="dxa" w:w="4702"/>
            <w:tcW w:w="4819" w:type="dxa"/>
          </w:tcPr>
          <w:p>
            <w:r>
              <w:rPr>
                <w:rFonts w:ascii="Times New Roman" w:hAnsi="Times New Roman"/>
                <w:sz w:val="20"/>
              </w:rPr>
              <w:t>Phân tích thứ cấp RCT</w:t>
            </w:r>
          </w:p>
        </w:tc>
      </w:tr>
      <w:tr>
        <w:tc>
          <w:tcPr>
            <w:tcW w:type="dxa" w:w="4702"/>
            <w:tcW w:w="2268" w:type="dxa"/>
          </w:tcPr>
          <w:p>
            <w:r>
              <w:rPr>
                <w:rFonts w:ascii="Times New Roman" w:hAnsi="Times New Roman"/>
                <w:sz w:val="20"/>
              </w:rPr>
              <w:t>Quốc gia</w:t>
            </w:r>
          </w:p>
        </w:tc>
        <w:tc>
          <w:tcPr>
            <w:tcW w:type="dxa" w:w="4702"/>
            <w:tcW w:w="4819" w:type="dxa"/>
          </w:tcPr>
          <w:p>
            <w:r>
              <w:rPr>
                <w:rFonts w:ascii="Times New Roman" w:hAnsi="Times New Roman"/>
                <w:sz w:val="20"/>
              </w:rPr>
              <w:t>Đan Mạch</w:t>
            </w:r>
          </w:p>
        </w:tc>
      </w:tr>
      <w:tr>
        <w:tc>
          <w:tcPr>
            <w:tcW w:type="dxa" w:w="4702"/>
            <w:tcW w:w="2268" w:type="dxa"/>
          </w:tcPr>
          <w:p>
            <w:r>
              <w:rPr>
                <w:rFonts w:ascii="Times New Roman" w:hAnsi="Times New Roman"/>
                <w:sz w:val="20"/>
              </w:rPr>
              <w:t>Đối tượng</w:t>
            </w:r>
          </w:p>
        </w:tc>
        <w:tc>
          <w:tcPr>
            <w:tcW w:type="dxa" w:w="4702"/>
            <w:tcW w:w="4819" w:type="dxa"/>
          </w:tcPr>
          <w:p>
            <w:r>
              <w:rPr>
                <w:rFonts w:ascii="Times New Roman" w:hAnsi="Times New Roman"/>
                <w:sz w:val="20"/>
              </w:rPr>
              <w:t>Trẻ em và thanh thiếu niên</w:t>
            </w:r>
          </w:p>
        </w:tc>
      </w:tr>
      <w:tr>
        <w:tc>
          <w:tcPr>
            <w:tcW w:type="dxa" w:w="4702"/>
            <w:tcW w:w="2268" w:type="dxa"/>
          </w:tcPr>
          <w:p>
            <w:r>
              <w:rPr>
                <w:rFonts w:ascii="Times New Roman" w:hAnsi="Times New Roman"/>
                <w:sz w:val="20"/>
              </w:rPr>
              <w:t>Can thiệp</w:t>
            </w:r>
          </w:p>
        </w:tc>
        <w:tc>
          <w:tcPr>
            <w:tcW w:type="dxa" w:w="4702"/>
            <w:tcW w:w="4819" w:type="dxa"/>
          </w:tcPr>
          <w:p>
            <w:r>
              <w:rPr>
                <w:rFonts w:ascii="Times New Roman" w:hAnsi="Times New Roman"/>
                <w:sz w:val="20"/>
              </w:rPr>
              <w:t>Giảm thời gian sử dụng phương tiện màn hình</w:t>
            </w:r>
          </w:p>
        </w:tc>
      </w:tr>
      <w:tr>
        <w:tc>
          <w:tcPr>
            <w:tcW w:type="dxa" w:w="4702"/>
            <w:tcW w:w="2268" w:type="dxa"/>
          </w:tcPr>
          <w:p>
            <w:r>
              <w:rPr>
                <w:rFonts w:ascii="Times New Roman" w:hAnsi="Times New Roman"/>
                <w:sz w:val="20"/>
              </w:rPr>
              <w:t>Kết cục</w:t>
            </w:r>
          </w:p>
        </w:tc>
        <w:tc>
          <w:tcPr>
            <w:tcW w:type="dxa" w:w="4702"/>
            <w:tcW w:w="4819" w:type="dxa"/>
          </w:tcPr>
          <w:p>
            <w:r>
              <w:rPr>
                <w:rFonts w:ascii="Times New Roman" w:hAnsi="Times New Roman"/>
                <w:sz w:val="20"/>
              </w:rPr>
              <w:t>Triệu chứng sức khỏe tâm thần</w:t>
            </w:r>
          </w:p>
        </w:tc>
      </w:tr>
      <w:tr>
        <w:tc>
          <w:tcPr>
            <w:tcW w:type="dxa" w:w="4702"/>
            <w:tcW w:w="2268" w:type="dxa"/>
          </w:tcPr>
          <w:p>
            <w:r>
              <w:rPr>
                <w:rFonts w:ascii="Times New Roman" w:hAnsi="Times New Roman"/>
                <w:sz w:val="20"/>
              </w:rPr>
              <w:t>Tạp chí</w:t>
            </w:r>
          </w:p>
        </w:tc>
        <w:tc>
          <w:tcPr>
            <w:tcW w:type="dxa" w:w="4702"/>
            <w:tcW w:w="4819" w:type="dxa"/>
          </w:tcPr>
          <w:p>
            <w:r>
              <w:rPr>
                <w:rFonts w:ascii="Times New Roman" w:hAnsi="Times New Roman"/>
                <w:sz w:val="20"/>
              </w:rPr>
              <w:t>JAMA Network Open (Q1, IF ≈ 13,0)</w:t>
            </w:r>
          </w:p>
        </w:tc>
      </w:tr>
    </w:tbl>
    <w:p/>
    <w:p>
      <w:r>
        <w:rPr>
          <w:rFonts w:ascii="Times New Roman" w:hAnsi="Times New Roman"/>
          <w:b/>
          <w:color w:val="0070C0"/>
          <w:sz w:val="24"/>
        </w:rPr>
        <w:t>Bảng 2. Hội tụ bằng chứng về screen time/MXH từ nhiều thiết kế:</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Nguồn</w:t>
            </w:r>
          </w:p>
        </w:tc>
        <w:tc>
          <w:tcPr>
            <w:tcW w:type="dxa" w:w="2351"/>
            <w:tcW w:w="1984" w:type="dxa"/>
            <w:shd w:fill="D9E2F3" w:val="clear"/>
          </w:tcPr>
          <w:p>
            <w:pPr>
              <w:jc w:val="center"/>
            </w:pPr>
            <w:r>
              <w:rPr>
                <w:rFonts w:ascii="Times New Roman" w:hAnsi="Times New Roman"/>
                <w:b/>
                <w:sz w:val="20"/>
              </w:rPr>
              <w:t>Thiết kế</w:t>
            </w:r>
          </w:p>
        </w:tc>
        <w:tc>
          <w:tcPr>
            <w:tcW w:type="dxa" w:w="2351"/>
            <w:tcW w:w="2268" w:type="dxa"/>
            <w:shd w:fill="D9E2F3" w:val="clear"/>
          </w:tcPr>
          <w:p>
            <w:pPr>
              <w:jc w:val="center"/>
            </w:pPr>
            <w:r>
              <w:rPr>
                <w:rFonts w:ascii="Times New Roman" w:hAnsi="Times New Roman"/>
                <w:b/>
                <w:sz w:val="20"/>
              </w:rPr>
              <w:t>Phát hiện</w:t>
            </w:r>
          </w:p>
        </w:tc>
        <w:tc>
          <w:tcPr>
            <w:tcW w:type="dxa" w:w="2351"/>
            <w:tcW w:w="1417" w:type="dxa"/>
            <w:shd w:fill="D9E2F3" w:val="clear"/>
          </w:tcPr>
          <w:p>
            <w:pPr>
              <w:jc w:val="center"/>
            </w:pPr>
            <w:r>
              <w:rPr>
                <w:rFonts w:ascii="Times New Roman" w:hAnsi="Times New Roman"/>
                <w:b/>
                <w:sz w:val="20"/>
              </w:rPr>
              <w:t>Cấp bằng chứng</w:t>
            </w:r>
          </w:p>
        </w:tc>
      </w:tr>
      <w:tr>
        <w:tc>
          <w:tcPr>
            <w:tcW w:type="dxa" w:w="2351"/>
            <w:tcW w:w="1701" w:type="dxa"/>
          </w:tcPr>
          <w:p>
            <w:r>
              <w:rPr>
                <w:rFonts w:ascii="Times New Roman" w:hAnsi="Times New Roman"/>
                <w:sz w:val="20"/>
              </w:rPr>
              <w:t>JAMA 2024 (bài này)</w:t>
            </w:r>
          </w:p>
        </w:tc>
        <w:tc>
          <w:tcPr>
            <w:tcW w:type="dxa" w:w="2351"/>
            <w:tcW w:w="1984" w:type="dxa"/>
          </w:tcPr>
          <w:p>
            <w:r>
              <w:rPr>
                <w:rFonts w:ascii="Times New Roman" w:hAnsi="Times New Roman"/>
                <w:sz w:val="20"/>
              </w:rPr>
              <w:t>RCT (phân tích thứ cấp)</w:t>
            </w:r>
          </w:p>
        </w:tc>
        <w:tc>
          <w:tcPr>
            <w:tcW w:type="dxa" w:w="2351"/>
            <w:tcW w:w="2268" w:type="dxa"/>
          </w:tcPr>
          <w:p>
            <w:r>
              <w:rPr>
                <w:rFonts w:ascii="Times New Roman" w:hAnsi="Times New Roman"/>
                <w:sz w:val="20"/>
              </w:rPr>
              <w:t>Giảm screen time → cải thiện SKTT</w:t>
            </w:r>
          </w:p>
        </w:tc>
        <w:tc>
          <w:tcPr>
            <w:tcW w:type="dxa" w:w="2351"/>
            <w:tcW w:w="1417" w:type="dxa"/>
          </w:tcPr>
          <w:p>
            <w:r>
              <w:rPr>
                <w:rFonts w:ascii="Times New Roman" w:hAnsi="Times New Roman"/>
                <w:sz w:val="20"/>
              </w:rPr>
              <w:t>CAO NHẤT</w:t>
            </w:r>
          </w:p>
        </w:tc>
      </w:tr>
      <w:tr>
        <w:tc>
          <w:tcPr>
            <w:tcW w:type="dxa" w:w="2351"/>
            <w:tcW w:w="1701" w:type="dxa"/>
          </w:tcPr>
          <w:p>
            <w:r>
              <w:rPr>
                <w:rFonts w:ascii="Times New Roman" w:hAnsi="Times New Roman"/>
                <w:sz w:val="20"/>
              </w:rPr>
              <w:t>BJCP 2025 (QT22)</w:t>
            </w:r>
          </w:p>
        </w:tc>
        <w:tc>
          <w:tcPr>
            <w:tcW w:type="dxa" w:w="2351"/>
            <w:tcW w:w="1984" w:type="dxa"/>
          </w:tcPr>
          <w:p>
            <w:r>
              <w:rPr>
                <w:rFonts w:ascii="Times New Roman" w:hAnsi="Times New Roman"/>
                <w:sz w:val="20"/>
              </w:rPr>
              <w:t>Dọc (longitudinal)</w:t>
            </w:r>
          </w:p>
        </w:tc>
        <w:tc>
          <w:tcPr>
            <w:tcW w:type="dxa" w:w="2351"/>
            <w:tcW w:w="2268" w:type="dxa"/>
          </w:tcPr>
          <w:p>
            <w:r>
              <w:rPr>
                <w:rFonts w:ascii="Times New Roman" w:hAnsi="Times New Roman"/>
                <w:sz w:val="20"/>
              </w:rPr>
              <w:t>Screen time DỰ BÁO lo âu sau 1 năm</w:t>
            </w:r>
          </w:p>
        </w:tc>
        <w:tc>
          <w:tcPr>
            <w:tcW w:type="dxa" w:w="2351"/>
            <w:tcW w:w="1417" w:type="dxa"/>
          </w:tcPr>
          <w:p>
            <w:r>
              <w:rPr>
                <w:rFonts w:ascii="Times New Roman" w:hAnsi="Times New Roman"/>
                <w:sz w:val="20"/>
              </w:rPr>
              <w:t>Cao</w:t>
            </w:r>
          </w:p>
        </w:tc>
      </w:tr>
      <w:tr>
        <w:tc>
          <w:tcPr>
            <w:tcW w:type="dxa" w:w="2351"/>
            <w:tcW w:w="1701" w:type="dxa"/>
          </w:tcPr>
          <w:p>
            <w:r>
              <w:rPr>
                <w:rFonts w:ascii="Times New Roman" w:hAnsi="Times New Roman"/>
                <w:sz w:val="20"/>
              </w:rPr>
              <w:t>Nature 2025 (QT27)</w:t>
            </w:r>
          </w:p>
        </w:tc>
        <w:tc>
          <w:tcPr>
            <w:tcW w:type="dxa" w:w="2351"/>
            <w:tcW w:w="1984" w:type="dxa"/>
          </w:tcPr>
          <w:p>
            <w:r>
              <w:rPr>
                <w:rFonts w:ascii="Times New Roman" w:hAnsi="Times New Roman"/>
                <w:sz w:val="20"/>
              </w:rPr>
              <w:t>Cắt ngang + chẩn đoán lâm sàng</w:t>
            </w:r>
          </w:p>
        </w:tc>
        <w:tc>
          <w:tcPr>
            <w:tcW w:type="dxa" w:w="2351"/>
            <w:tcW w:w="2268" w:type="dxa"/>
          </w:tcPr>
          <w:p>
            <w:r>
              <w:rPr>
                <w:rFonts w:ascii="Times New Roman" w:hAnsi="Times New Roman"/>
                <w:sz w:val="20"/>
              </w:rPr>
              <w:t>VTN có RLTT dùng MXH nhiều hơn</w:t>
            </w:r>
          </w:p>
        </w:tc>
        <w:tc>
          <w:tcPr>
            <w:tcW w:type="dxa" w:w="2351"/>
            <w:tcW w:w="1417" w:type="dxa"/>
          </w:tcPr>
          <w:p>
            <w:r>
              <w:rPr>
                <w:rFonts w:ascii="Times New Roman" w:hAnsi="Times New Roman"/>
                <w:sz w:val="20"/>
              </w:rPr>
              <w:t>Trung bình-Cao</w:t>
            </w:r>
          </w:p>
        </w:tc>
      </w:tr>
      <w:tr>
        <w:tc>
          <w:tcPr>
            <w:tcW w:type="dxa" w:w="2351"/>
            <w:tcW w:w="1701" w:type="dxa"/>
          </w:tcPr>
          <w:p>
            <w:r>
              <w:rPr>
                <w:rFonts w:ascii="Times New Roman" w:hAnsi="Times New Roman"/>
                <w:sz w:val="20"/>
              </w:rPr>
              <w:t>Norway 2025 (QT21)</w:t>
            </w:r>
          </w:p>
        </w:tc>
        <w:tc>
          <w:tcPr>
            <w:tcW w:type="dxa" w:w="2351"/>
            <w:tcW w:w="1984" w:type="dxa"/>
          </w:tcPr>
          <w:p>
            <w:r>
              <w:rPr>
                <w:rFonts w:ascii="Times New Roman" w:hAnsi="Times New Roman"/>
                <w:sz w:val="20"/>
              </w:rPr>
              <w:t>Xu hướng 13 năm</w:t>
            </w:r>
          </w:p>
        </w:tc>
        <w:tc>
          <w:tcPr>
            <w:tcW w:type="dxa" w:w="2351"/>
            <w:tcW w:w="2268" w:type="dxa"/>
          </w:tcPr>
          <w:p>
            <w:r>
              <w:rPr>
                <w:rFonts w:ascii="Times New Roman" w:hAnsi="Times New Roman"/>
                <w:sz w:val="20"/>
              </w:rPr>
              <w:t>MXH giải thích xu hướng tăng</w:t>
            </w:r>
          </w:p>
        </w:tc>
        <w:tc>
          <w:tcPr>
            <w:tcW w:type="dxa" w:w="2351"/>
            <w:tcW w:w="1417" w:type="dxa"/>
          </w:tcPr>
          <w:p>
            <w:r>
              <w:rPr>
                <w:rFonts w:ascii="Times New Roman" w:hAnsi="Times New Roman"/>
                <w:sz w:val="20"/>
              </w:rPr>
              <w:t>Trung bình</w:t>
            </w:r>
          </w:p>
        </w:tc>
      </w:tr>
      <w:tr>
        <w:tc>
          <w:tcPr>
            <w:tcW w:type="dxa" w:w="2351"/>
            <w:tcW w:w="1701" w:type="dxa"/>
          </w:tcPr>
          <w:p>
            <w:r>
              <w:rPr>
                <w:rFonts w:ascii="Times New Roman" w:hAnsi="Times New Roman"/>
                <w:sz w:val="20"/>
              </w:rPr>
              <w:t>Chen 2023 (bài 07)</w:t>
            </w:r>
          </w:p>
        </w:tc>
        <w:tc>
          <w:tcPr>
            <w:tcW w:type="dxa" w:w="2351"/>
            <w:tcW w:w="1984" w:type="dxa"/>
          </w:tcPr>
          <w:p>
            <w:r>
              <w:rPr>
                <w:rFonts w:ascii="Times New Roman" w:hAnsi="Times New Roman"/>
                <w:sz w:val="20"/>
              </w:rPr>
              <w:t>Cắt ngang, n=63.205</w:t>
            </w:r>
          </w:p>
        </w:tc>
        <w:tc>
          <w:tcPr>
            <w:tcW w:type="dxa" w:w="2351"/>
            <w:tcW w:w="2268" w:type="dxa"/>
          </w:tcPr>
          <w:p>
            <w:r>
              <w:rPr>
                <w:rFonts w:ascii="Times New Roman" w:hAnsi="Times New Roman"/>
                <w:sz w:val="20"/>
              </w:rPr>
              <w:t>Game OR = 5,00</w:t>
            </w:r>
          </w:p>
        </w:tc>
        <w:tc>
          <w:tcPr>
            <w:tcW w:type="dxa" w:w="2351"/>
            <w:tcW w:w="1417" w:type="dxa"/>
          </w:tcPr>
          <w:p>
            <w:r>
              <w:rPr>
                <w:rFonts w:ascii="Times New Roman" w:hAnsi="Times New Roman"/>
                <w:sz w:val="20"/>
              </w:rPr>
              <w:t>Trung bình</w:t>
            </w:r>
          </w:p>
        </w:tc>
      </w:tr>
      <w:tr>
        <w:tc>
          <w:tcPr>
            <w:tcW w:type="dxa" w:w="2351"/>
            <w:tcW w:w="1701" w:type="dxa"/>
          </w:tcPr>
          <w:p>
            <w:r>
              <w:rPr>
                <w:rFonts w:ascii="Times New Roman" w:hAnsi="Times New Roman"/>
                <w:sz w:val="20"/>
              </w:rPr>
              <w:t>Hoàng Trung Học VN</w:t>
            </w:r>
          </w:p>
        </w:tc>
        <w:tc>
          <w:tcPr>
            <w:tcW w:type="dxa" w:w="2351"/>
            <w:tcW w:w="1984" w:type="dxa"/>
          </w:tcPr>
          <w:p>
            <w:r>
              <w:rPr>
                <w:rFonts w:ascii="Times New Roman" w:hAnsi="Times New Roman"/>
                <w:sz w:val="20"/>
              </w:rPr>
              <w:t>Cắt ngang, n=8.473</w:t>
            </w:r>
          </w:p>
        </w:tc>
        <w:tc>
          <w:tcPr>
            <w:tcW w:type="dxa" w:w="2351"/>
            <w:tcW w:w="2268" w:type="dxa"/>
          </w:tcPr>
          <w:p>
            <w:r>
              <w:rPr>
                <w:rFonts w:ascii="Times New Roman" w:hAnsi="Times New Roman"/>
                <w:sz w:val="20"/>
              </w:rPr>
              <w:t>Điện tử Beta = 0,176</w:t>
            </w:r>
          </w:p>
        </w:tc>
        <w:tc>
          <w:tcPr>
            <w:tcW w:type="dxa" w:w="2351"/>
            <w:tcW w:w="1417" w:type="dxa"/>
          </w:tcPr>
          <w:p>
            <w:r>
              <w:rPr>
                <w:rFonts w:ascii="Times New Roman" w:hAnsi="Times New Roman"/>
                <w:sz w:val="20"/>
              </w:rPr>
              <w:t>Trung bình</w:t>
            </w:r>
          </w:p>
        </w:tc>
      </w:tr>
    </w:tbl>
    <w:p/>
    <w:p>
      <w:r>
        <w:rPr>
          <w:rFonts w:ascii="Times New Roman" w:hAnsi="Times New Roman"/>
          <w:b/>
          <w:color w:val="0070C0"/>
          <w:sz w:val="24"/>
        </w:rPr>
        <w:t>Bảng 3. Kim tự tháp bằng chứng — vị trí các NC:</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1134" w:type="dxa"/>
            <w:shd w:fill="D9E2F3" w:val="clear"/>
          </w:tcPr>
          <w:p>
            <w:pPr>
              <w:jc w:val="center"/>
            </w:pPr>
            <w:r>
              <w:rPr>
                <w:rFonts w:ascii="Times New Roman" w:hAnsi="Times New Roman"/>
                <w:b/>
                <w:sz w:val="20"/>
              </w:rPr>
              <w:t>Cấp</w:t>
            </w:r>
          </w:p>
        </w:tc>
        <w:tc>
          <w:tcPr>
            <w:tcW w:type="dxa" w:w="3135"/>
            <w:tcW w:w="2268" w:type="dxa"/>
            <w:shd w:fill="D9E2F3" w:val="clear"/>
          </w:tcPr>
          <w:p>
            <w:pPr>
              <w:jc w:val="center"/>
            </w:pPr>
            <w:r>
              <w:rPr>
                <w:rFonts w:ascii="Times New Roman" w:hAnsi="Times New Roman"/>
                <w:b/>
                <w:sz w:val="20"/>
              </w:rPr>
              <w:t>Thiết kế</w:t>
            </w:r>
          </w:p>
        </w:tc>
        <w:tc>
          <w:tcPr>
            <w:tcW w:type="dxa" w:w="3135"/>
            <w:tcW w:w="3685" w:type="dxa"/>
            <w:shd w:fill="D9E2F3" w:val="clear"/>
          </w:tcPr>
          <w:p>
            <w:pPr>
              <w:jc w:val="center"/>
            </w:pPr>
            <w:r>
              <w:rPr>
                <w:rFonts w:ascii="Times New Roman" w:hAnsi="Times New Roman"/>
                <w:b/>
                <w:sz w:val="20"/>
              </w:rPr>
              <w:t>Bài trong Đề tài</w:t>
            </w:r>
          </w:p>
        </w:tc>
      </w:tr>
      <w:tr>
        <w:tc>
          <w:tcPr>
            <w:tcW w:type="dxa" w:w="3135"/>
            <w:tcW w:w="1134" w:type="dxa"/>
          </w:tcPr>
          <w:p>
            <w:r>
              <w:rPr>
                <w:rFonts w:ascii="Times New Roman" w:hAnsi="Times New Roman"/>
                <w:sz w:val="20"/>
              </w:rPr>
              <w:t>1 (cao nhất)</w:t>
            </w:r>
          </w:p>
        </w:tc>
        <w:tc>
          <w:tcPr>
            <w:tcW w:type="dxa" w:w="3135"/>
            <w:tcW w:w="2268" w:type="dxa"/>
          </w:tcPr>
          <w:p>
            <w:r>
              <w:rPr>
                <w:rFonts w:ascii="Times New Roman" w:hAnsi="Times New Roman"/>
                <w:sz w:val="20"/>
              </w:rPr>
              <w:t>RCT</w:t>
            </w:r>
          </w:p>
        </w:tc>
        <w:tc>
          <w:tcPr>
            <w:tcW w:type="dxa" w:w="3135"/>
            <w:tcW w:w="3685" w:type="dxa"/>
          </w:tcPr>
          <w:p>
            <w:r>
              <w:rPr>
                <w:rFonts w:ascii="Times New Roman" w:hAnsi="Times New Roman"/>
                <w:sz w:val="20"/>
              </w:rPr>
              <w:t>JAMA 2024 (bài này)</w:t>
            </w:r>
          </w:p>
        </w:tc>
      </w:tr>
      <w:tr>
        <w:tc>
          <w:tcPr>
            <w:tcW w:type="dxa" w:w="3135"/>
            <w:tcW w:w="1134" w:type="dxa"/>
          </w:tcPr>
          <w:p>
            <w:r>
              <w:rPr>
                <w:rFonts w:ascii="Times New Roman" w:hAnsi="Times New Roman"/>
                <w:sz w:val="20"/>
              </w:rPr>
              <w:t>2</w:t>
            </w:r>
          </w:p>
        </w:tc>
        <w:tc>
          <w:tcPr>
            <w:tcW w:type="dxa" w:w="3135"/>
            <w:tcW w:w="2268" w:type="dxa"/>
          </w:tcPr>
          <w:p>
            <w:r>
              <w:rPr>
                <w:rFonts w:ascii="Times New Roman" w:hAnsi="Times New Roman"/>
                <w:sz w:val="20"/>
              </w:rPr>
              <w:t>Dọc (longitudinal)</w:t>
            </w:r>
          </w:p>
        </w:tc>
        <w:tc>
          <w:tcPr>
            <w:tcW w:type="dxa" w:w="3135"/>
            <w:tcW w:w="3685" w:type="dxa"/>
          </w:tcPr>
          <w:p>
            <w:r>
              <w:rPr>
                <w:rFonts w:ascii="Times New Roman" w:hAnsi="Times New Roman"/>
                <w:sz w:val="20"/>
              </w:rPr>
              <w:t>BJCP 2025 (QT22)</w:t>
            </w:r>
          </w:p>
        </w:tc>
      </w:tr>
      <w:tr>
        <w:tc>
          <w:tcPr>
            <w:tcW w:type="dxa" w:w="3135"/>
            <w:tcW w:w="1134" w:type="dxa"/>
          </w:tcPr>
          <w:p>
            <w:r>
              <w:rPr>
                <w:rFonts w:ascii="Times New Roman" w:hAnsi="Times New Roman"/>
                <w:sz w:val="20"/>
              </w:rPr>
              <w:t>3</w:t>
            </w:r>
          </w:p>
        </w:tc>
        <w:tc>
          <w:tcPr>
            <w:tcW w:type="dxa" w:w="3135"/>
            <w:tcW w:w="2268" w:type="dxa"/>
          </w:tcPr>
          <w:p>
            <w:r>
              <w:rPr>
                <w:rFonts w:ascii="Times New Roman" w:hAnsi="Times New Roman"/>
                <w:sz w:val="20"/>
              </w:rPr>
              <w:t>Cắt ngang + chẩn đoán</w:t>
            </w:r>
          </w:p>
        </w:tc>
        <w:tc>
          <w:tcPr>
            <w:tcW w:type="dxa" w:w="3135"/>
            <w:tcW w:w="3685" w:type="dxa"/>
          </w:tcPr>
          <w:p>
            <w:r>
              <w:rPr>
                <w:rFonts w:ascii="Times New Roman" w:hAnsi="Times New Roman"/>
                <w:sz w:val="20"/>
              </w:rPr>
              <w:t>Nature 2025 (QT27)</w:t>
            </w:r>
          </w:p>
        </w:tc>
      </w:tr>
      <w:tr>
        <w:tc>
          <w:tcPr>
            <w:tcW w:type="dxa" w:w="3135"/>
            <w:tcW w:w="1134" w:type="dxa"/>
          </w:tcPr>
          <w:p>
            <w:r>
              <w:rPr>
                <w:rFonts w:ascii="Times New Roman" w:hAnsi="Times New Roman"/>
                <w:sz w:val="20"/>
              </w:rPr>
              <w:t>4</w:t>
            </w:r>
          </w:p>
        </w:tc>
        <w:tc>
          <w:tcPr>
            <w:tcW w:type="dxa" w:w="3135"/>
            <w:tcW w:w="2268" w:type="dxa"/>
          </w:tcPr>
          <w:p>
            <w:r>
              <w:rPr>
                <w:rFonts w:ascii="Times New Roman" w:hAnsi="Times New Roman"/>
                <w:sz w:val="20"/>
              </w:rPr>
              <w:t>Cắt ngang lớn</w:t>
            </w:r>
          </w:p>
        </w:tc>
        <w:tc>
          <w:tcPr>
            <w:tcW w:type="dxa" w:w="3135"/>
            <w:tcW w:w="3685" w:type="dxa"/>
          </w:tcPr>
          <w:p>
            <w:r>
              <w:rPr>
                <w:rFonts w:ascii="Times New Roman" w:hAnsi="Times New Roman"/>
                <w:sz w:val="20"/>
              </w:rPr>
              <w:t>Chen 2023, Xu 2021, HTH 2025</w:t>
            </w:r>
          </w:p>
        </w:tc>
      </w:tr>
      <w:tr>
        <w:tc>
          <w:tcPr>
            <w:tcW w:type="dxa" w:w="3135"/>
            <w:tcW w:w="1134" w:type="dxa"/>
          </w:tcPr>
          <w:p>
            <w:r>
              <w:rPr>
                <w:rFonts w:ascii="Times New Roman" w:hAnsi="Times New Roman"/>
                <w:sz w:val="20"/>
              </w:rPr>
              <w:t>5</w:t>
            </w:r>
          </w:p>
        </w:tc>
        <w:tc>
          <w:tcPr>
            <w:tcW w:type="dxa" w:w="3135"/>
            <w:tcW w:w="2268" w:type="dxa"/>
          </w:tcPr>
          <w:p>
            <w:r>
              <w:rPr>
                <w:rFonts w:ascii="Times New Roman" w:hAnsi="Times New Roman"/>
                <w:sz w:val="20"/>
              </w:rPr>
              <w:t>Tổng quan/meta</w:t>
            </w:r>
          </w:p>
        </w:tc>
        <w:tc>
          <w:tcPr>
            <w:tcW w:type="dxa" w:w="3135"/>
            <w:tcW w:w="3685" w:type="dxa"/>
          </w:tcPr>
          <w:p>
            <w:r>
              <w:rPr>
                <w:rFonts w:ascii="Times New Roman" w:hAnsi="Times New Roman"/>
                <w:sz w:val="20"/>
              </w:rPr>
              <w:t>AJP 2024, BMC 2025, GBD 2025</w:t>
            </w:r>
          </w:p>
        </w:tc>
      </w:tr>
    </w:tbl>
    <w:p/>
    <w:p>
      <w:pPr>
        <w:pStyle w:val="Heading3"/>
      </w:pPr>
      <w:r>
        <w:rPr>
          <w:rFonts w:ascii="Times New Roman" w:hAnsi="Times New Roman"/>
          <w:color w:val="0070C0"/>
        </w:rPr>
        <w:t>Đối chiếu liên bài : SÁU nguồn bằng chứng từ nhiều thiết kế (RCT, dọc, cắt ngang, xu hướng) và nhiều nước (Đan Mạch, Anh, Na Uy, Trung Quốc, Việt Nam) đều chỉ cùng hướng: screen time/MXH ảnh hưởng tiêu cực đến SKTT VTN. JAMA RCT cung cấp bằng chứng nhân quả mạnh nhất.</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*Bằng chứng nhân quả từ RCT.* Đây là điểm mạnh vượt trội — giảm screen time CẢI THIỆN SKTT, không chỉ tương quan.</w:t>
      </w:r>
    </w:p>
    <w:p>
      <w:r>
        <w:rPr>
          <w:rFonts w:ascii="Times New Roman" w:hAnsi="Times New Roman"/>
          <w:b w:val="0"/>
          <w:color w:val="0070C0"/>
          <w:sz w:val="24"/>
        </w:rPr>
        <w:t>*Ứng dụng cho VN.* Kết hợp với Hoàng Trung Học 2025 (điện tử Beta = 0,176) và Chen 2023 (game OR = 5,00), cung cấp cơ sở mạnh cho can thiệp quản lý thời gian màn hình tại trường học VN.</w:t>
      </w:r>
    </w:p>
    <w:p>
      <w:r>
        <w:rPr>
          <w:rFonts w:ascii="Times New Roman" w:hAnsi="Times New Roman"/>
          <w:b/>
          <w:color w:val="FF0000"/>
          <w:sz w:val="24"/>
        </w:rPr>
        <w:t>Kết luận</w:t>
      </w:r>
    </w:p>
    <w:p>
      <w:r>
        <w:rPr>
          <w:rFonts w:ascii="Times New Roman" w:hAnsi="Times New Roman"/>
          <w:b/>
          <w:color w:val="0070C0"/>
          <w:sz w:val="24"/>
        </w:rPr>
        <w:t>Dữ liệu từ RCT trên JAMA (IF = 13), cho thấy giảm thời gian sử dụng màn hình cải thiện SKTT ở trẻ em/VTN — bằng chứng nhân quả mạnh nhất hiện có, hội tụ với 5 nguồn bằng chứng khác từ nhiều thiết kế và quốc gia, gợi ý rằng can thiệp quản lý screen time là chiến lược phòng ngừa có cơ sở khoa học vững chắc.</w:t>
      </w:r>
    </w:p>
    <w:p>
      <w:pPr>
        <w:pStyle w:val="Heading2"/>
      </w:pPr>
      <w:r>
        <w:rPr>
          <w:rFonts w:ascii="Times New Roman" w:hAnsi="Times New Roman"/>
          <w:color w:val="FF0000"/>
        </w:rPr>
        <w:t>Phản biện</w:t>
      </w:r>
    </w:p>
    <w:p>
      <w:r>
        <w:rPr>
          <w:rFonts w:ascii="Times New Roman" w:hAnsi="Times New Roman"/>
          <w:b w:val="0"/>
          <w:color w:val="0070C0"/>
          <w:sz w:val="24"/>
        </w:rPr>
        <w:t>JAMA Q1 IF = 13. Bằng chứng RCT — cấp cao nhất. Tuy nhiên, phân tích THỨ CẤP (không phải RCT thiết kế cho SKTT). Chỉ Đan Mạch — bối cảnh Bắc Âu khác châu Á. Cần đọc chi tiết cỡ mẫu và loại screen time (TV vs MXH vs game).</w:t>
      </w:r>
    </w:p>
    <w:p>
      <w:pPr>
        <w:pStyle w:val="Heading2"/>
      </w:pPr>
      <w:r>
        <w:rPr>
          <w:rFonts w:ascii="Times New Roman" w:hAnsi="Times New Roman"/>
          <w:color w:val="FF0000"/>
        </w:rPr>
        <w:t>Hướng nghiên cứu tiếp theo</w:t>
      </w:r>
    </w:p>
    <w:p>
      <w:r>
        <w:rPr>
          <w:rFonts w:ascii="Times New Roman" w:hAnsi="Times New Roman"/>
          <w:b w:val="0"/>
          <w:color w:val="0070C0"/>
          <w:sz w:val="24"/>
        </w:rPr>
        <w:t>RCT giảm screen time tại trường VN. Phân biệt loại screen time (giải trí vs học tập). So sánh Đan Mạch vs châu Á.</w:t>
      </w:r>
    </w:p>
    <w:p>
      <w:r>
        <w:rPr>
          <w:rFonts w:ascii="Times New Roman" w:hAnsi="Times New Roman"/>
          <w:b/>
          <w:sz w:val="24"/>
        </w:rPr>
        <w:t>Đánh giá: ⭐⭐⭐⭐⭐ Rất cao. JAMA Q1 IF=13, RCT — bằng chứng nhân quả.</w:t>
      </w:r>
    </w:p>
    <w:p/>
    <w:p>
      <w:pPr>
        <w:spacing w:line="360" w:lineRule="auto"/>
      </w:pPr>
      <w:r>
        <w:rPr>
          <w:rFonts w:ascii="Times New Roman" w:hAnsi="Times New Roman"/>
          <w:b/>
          <w:sz w:val="26"/>
        </w:rPr>
        <w:t>Tham khao</w:t>
      </w:r>
    </w:p>
    <w:p>
      <w:pPr>
        <w:spacing w:line="360" w:lineRule="auto"/>
      </w:pPr>
      <w:r>
        <w:rPr>
          <w:rFonts w:ascii="Times New Roman" w:hAnsi="Times New Roman"/>
          <w:sz w:val="24"/>
        </w:rPr>
        <w:t>JAMA SchmidtPersson ScreenMedia (2024). [Tieu de bai bao: [khong co trong canonical]]. [Tap chi/Nguon: [khong co trong canonical]], [vol/issue/pages: [khong co trong canonical]].</w:t>
      </w:r>
    </w:p>
    <w:p>
      <w:pPr>
        <w:spacing w:line="360" w:lineRule="auto"/>
      </w:pPr>
      <w:r>
        <w:rPr>
          <w:rFonts w:ascii="Times New Roman" w:hAnsi="Times New Roman"/>
          <w:sz w:val="24"/>
        </w:rPr>
        <w:t>PDF path: 02_Papers-goc/The-gioi_Au-My-Uc/QT033_JAMA_SchmidtPersson_ScreenMedia_2024.pdf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