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QT-34</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 Xu hướng quốc gia về sức khỏe tâm thần thanh thiếu niên theo mức thu nhập tại Hàn Quốc, trước và sau COVID-19, 2006–2022 » (National Trends in Adolescents Mental Health by Income Level in South Korea, Pre- and Post-COVID-19, 2006–2022), xuất bản trên Nature Scientific Reports, 2024 (Q1, IF ≈ 4,6). Dữ liệu KYRBS (Korea Youth Risk Behavior Web-based Survey) quốc gia 2006–2022. 14 trang, 4 bảng, 1 hình.</w:t>
      </w:r>
    </w:p>
    <w:p>
      <w:r>
        <w:rPr>
          <w:rFonts w:ascii="Times New Roman" w:hAnsi="Times New Roman"/>
          <w:b/>
          <w:color w:val="FF0000"/>
          <w:sz w:val="24"/>
        </w:rPr>
        <w:t>Phương pháp nghiên cứu</w:t>
      </w:r>
    </w:p>
    <w:p>
      <w:r>
        <w:rPr>
          <w:rFonts w:ascii="Times New Roman" w:hAnsi="Times New Roman"/>
          <w:b/>
          <w:color w:val="0070C0"/>
          <w:sz w:val="24"/>
        </w:rPr>
        <w:t>Phân tích xu hướng 16 năm (2006–2022) từ KYRBS — khảo sát hành vi nguy cơ thanh niên quốc gia Hàn Quốc, phân tầng theo mức thu nhập gia đình và giai đoạn COVID-19. Nói cách khác, đây là phân tích xu hướng dài nhất trong Đề tài (16 năm), cho phép đánh giá tác động bất bình đẳng kinh tế lên SKTT VTN trước, trong và sau COVID-19.</w:t>
      </w:r>
    </w:p>
    <w:p>
      <w:r>
        <w:rPr>
          <w:rFonts w:ascii="Times New Roman" w:hAnsi="Times New Roman"/>
          <w:b/>
          <w:color w:val="0070C0"/>
          <w:sz w:val="24"/>
        </w:rPr>
        <w:t>KYRBS được Trung tâm Kiểm soát Dịch bệnh Hàn Quốc và Bộ Giáo dục triển khai hàng năm từ 2005, lấy mẫu cụm nhiều bậc đại diện quốc gia cho HS THCS + THPT.</w:t>
      </w:r>
    </w:p>
    <w:p>
      <w:r>
        <w:rPr>
          <w:rFonts w:ascii="Times New Roman" w:hAnsi="Times New Roman"/>
          <w:b/>
          <w:color w:val="FF0000"/>
          <w:sz w:val="24"/>
        </w:rPr>
        <w:t>Kết quả nghiên cứu định lượng</w:t>
      </w:r>
    </w:p>
    <w:p>
      <w:r>
        <w:rPr>
          <w:rFonts w:ascii="Times New Roman" w:hAnsi="Times New Roman"/>
          <w:b/>
          <w:color w:val="0070C0"/>
          <w:sz w:val="24"/>
        </w:rPr>
        <w:t>Bảng 1 (từ Table 1-2 gốc). Xu hướng SKTT VTN Hàn Quốc 2006–2022:</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Chỉ số</w:t>
            </w:r>
          </w:p>
        </w:tc>
        <w:tc>
          <w:tcPr>
            <w:tcW w:type="dxa" w:w="2351"/>
            <w:tcW w:w="1701" w:type="dxa"/>
            <w:shd w:fill="D9E2F3" w:val="clear"/>
          </w:tcPr>
          <w:p>
            <w:pPr>
              <w:jc w:val="center"/>
            </w:pPr>
            <w:r>
              <w:rPr>
                <w:rFonts w:ascii="Times New Roman" w:hAnsi="Times New Roman"/>
                <w:b/>
                <w:sz w:val="20"/>
              </w:rPr>
              <w:t>Xu hướng trước COVID</w:t>
            </w:r>
          </w:p>
        </w:tc>
        <w:tc>
          <w:tcPr>
            <w:tcW w:type="dxa" w:w="2351"/>
            <w:tcW w:w="1701" w:type="dxa"/>
            <w:shd w:fill="D9E2F3" w:val="clear"/>
          </w:tcPr>
          <w:p>
            <w:pPr>
              <w:jc w:val="center"/>
            </w:pPr>
            <w:r>
              <w:rPr>
                <w:rFonts w:ascii="Times New Roman" w:hAnsi="Times New Roman"/>
                <w:b/>
                <w:sz w:val="20"/>
              </w:rPr>
              <w:t>Xu hướng sau COVID</w:t>
            </w:r>
          </w:p>
        </w:tc>
        <w:tc>
          <w:tcPr>
            <w:tcW w:type="dxa" w:w="2351"/>
            <w:tcW w:w="2268" w:type="dxa"/>
            <w:shd w:fill="D9E2F3" w:val="clear"/>
          </w:tcPr>
          <w:p>
            <w:pPr>
              <w:jc w:val="center"/>
            </w:pPr>
            <w:r>
              <w:rPr>
                <w:rFonts w:ascii="Times New Roman" w:hAnsi="Times New Roman"/>
                <w:b/>
                <w:sz w:val="20"/>
              </w:rPr>
              <w:t>Bất bình đẳng thu nhập</w:t>
            </w:r>
          </w:p>
        </w:tc>
      </w:tr>
      <w:tr>
        <w:tc>
          <w:tcPr>
            <w:tcW w:type="dxa" w:w="2351"/>
            <w:tcW w:w="1701" w:type="dxa"/>
          </w:tcPr>
          <w:p>
            <w:r>
              <w:rPr>
                <w:rFonts w:ascii="Times New Roman" w:hAnsi="Times New Roman"/>
                <w:sz w:val="20"/>
              </w:rPr>
              <w:t>Stress nhận thức</w:t>
            </w:r>
          </w:p>
        </w:tc>
        <w:tc>
          <w:tcPr>
            <w:tcW w:type="dxa" w:w="2351"/>
            <w:tcW w:w="1701" w:type="dxa"/>
          </w:tcPr>
          <w:p>
            <w:r>
              <w:rPr>
                <w:rFonts w:ascii="Times New Roman" w:hAnsi="Times New Roman"/>
                <w:sz w:val="20"/>
              </w:rPr>
              <w:t>Giảm</w:t>
            </w:r>
          </w:p>
        </w:tc>
        <w:tc>
          <w:tcPr>
            <w:tcW w:type="dxa" w:w="2351"/>
            <w:tcW w:w="1701" w:type="dxa"/>
          </w:tcPr>
          <w:p>
            <w:r>
              <w:rPr>
                <w:rFonts w:ascii="Times New Roman" w:hAnsi="Times New Roman"/>
                <w:sz w:val="20"/>
              </w:rPr>
              <w:t>TĂNG</w:t>
            </w:r>
          </w:p>
        </w:tc>
        <w:tc>
          <w:tcPr>
            <w:tcW w:type="dxa" w:w="2351"/>
            <w:tcW w:w="2268" w:type="dxa"/>
          </w:tcPr>
          <w:p>
            <w:r>
              <w:rPr>
                <w:rFonts w:ascii="Times New Roman" w:hAnsi="Times New Roman"/>
                <w:sz w:val="20"/>
              </w:rPr>
              <w:t>Thu nhập thấp: 62,8% vs cao: 40,1%</w:t>
            </w:r>
          </w:p>
        </w:tc>
      </w:tr>
      <w:tr>
        <w:tc>
          <w:tcPr>
            <w:tcW w:type="dxa" w:w="2351"/>
            <w:tcW w:w="1701" w:type="dxa"/>
          </w:tcPr>
          <w:p>
            <w:r>
              <w:rPr>
                <w:rFonts w:ascii="Times New Roman" w:hAnsi="Times New Roman"/>
                <w:sz w:val="20"/>
              </w:rPr>
              <w:t>Buồn bã</w:t>
            </w:r>
          </w:p>
        </w:tc>
        <w:tc>
          <w:tcPr>
            <w:tcW w:type="dxa" w:w="2351"/>
            <w:tcW w:w="1701" w:type="dxa"/>
          </w:tcPr>
          <w:p>
            <w:r>
              <w:rPr>
                <w:rFonts w:ascii="Times New Roman" w:hAnsi="Times New Roman"/>
                <w:sz w:val="20"/>
              </w:rPr>
              <w:t>Giảm</w:t>
            </w:r>
          </w:p>
        </w:tc>
        <w:tc>
          <w:tcPr>
            <w:tcW w:type="dxa" w:w="2351"/>
            <w:tcW w:w="1701" w:type="dxa"/>
          </w:tcPr>
          <w:p>
            <w:r>
              <w:rPr>
                <w:rFonts w:ascii="Times New Roman" w:hAnsi="Times New Roman"/>
                <w:sz w:val="20"/>
              </w:rPr>
              <w:t>TĂNG (28,2%)</w:t>
            </w:r>
          </w:p>
        </w:tc>
        <w:tc>
          <w:tcPr>
            <w:tcW w:type="dxa" w:w="2351"/>
            <w:tcW w:w="2268" w:type="dxa"/>
          </w:tcPr>
          <w:p>
            <w:r>
              <w:rPr>
                <w:rFonts w:ascii="Times New Roman" w:hAnsi="Times New Roman"/>
                <w:sz w:val="20"/>
              </w:rPr>
              <w:t>Khoảng cách MỞ RỘNG</w:t>
            </w:r>
          </w:p>
        </w:tc>
      </w:tr>
      <w:tr>
        <w:tc>
          <w:tcPr>
            <w:tcW w:type="dxa" w:w="2351"/>
            <w:tcW w:w="1701" w:type="dxa"/>
          </w:tcPr>
          <w:p>
            <w:r>
              <w:rPr>
                <w:rFonts w:ascii="Times New Roman" w:hAnsi="Times New Roman"/>
                <w:sz w:val="20"/>
              </w:rPr>
              <w:t>Ý tưởng tự tử</w:t>
            </w:r>
          </w:p>
        </w:tc>
        <w:tc>
          <w:tcPr>
            <w:tcW w:type="dxa" w:w="2351"/>
            <w:tcW w:w="1701" w:type="dxa"/>
          </w:tcPr>
          <w:p>
            <w:r>
              <w:rPr>
                <w:rFonts w:ascii="Times New Roman" w:hAnsi="Times New Roman"/>
                <w:sz w:val="20"/>
              </w:rPr>
              <w:t>Giảm</w:t>
            </w:r>
          </w:p>
        </w:tc>
        <w:tc>
          <w:tcPr>
            <w:tcW w:type="dxa" w:w="2351"/>
            <w:tcW w:w="1701" w:type="dxa"/>
          </w:tcPr>
          <w:p>
            <w:r>
              <w:rPr>
                <w:rFonts w:ascii="Times New Roman" w:hAnsi="Times New Roman"/>
                <w:sz w:val="20"/>
              </w:rPr>
              <w:t>TĂNG (13,9%)</w:t>
            </w:r>
          </w:p>
        </w:tc>
        <w:tc>
          <w:tcPr>
            <w:tcW w:type="dxa" w:w="2351"/>
            <w:tcW w:w="2268" w:type="dxa"/>
          </w:tcPr>
          <w:p>
            <w:r>
              <w:rPr>
                <w:rFonts w:ascii="Times New Roman" w:hAnsi="Times New Roman"/>
                <w:sz w:val="20"/>
              </w:rPr>
              <w:t>Thu nhập thấp tệ hơn</w:t>
            </w:r>
          </w:p>
        </w:tc>
      </w:tr>
      <w:tr>
        <w:tc>
          <w:tcPr>
            <w:tcW w:type="dxa" w:w="2351"/>
            <w:tcW w:w="1701" w:type="dxa"/>
          </w:tcPr>
          <w:p>
            <w:r>
              <w:rPr>
                <w:rFonts w:ascii="Times New Roman" w:hAnsi="Times New Roman"/>
                <w:sz w:val="20"/>
              </w:rPr>
              <w:t>Cố tự tử</w:t>
            </w:r>
          </w:p>
        </w:tc>
        <w:tc>
          <w:tcPr>
            <w:tcW w:type="dxa" w:w="2351"/>
            <w:tcW w:w="1701" w:type="dxa"/>
          </w:tcPr>
          <w:p>
            <w:r>
              <w:rPr>
                <w:rFonts w:ascii="Times New Roman" w:hAnsi="Times New Roman"/>
                <w:sz w:val="20"/>
              </w:rPr>
              <w:t>Giảm</w:t>
            </w:r>
          </w:p>
        </w:tc>
        <w:tc>
          <w:tcPr>
            <w:tcW w:type="dxa" w:w="2351"/>
            <w:tcW w:w="1701" w:type="dxa"/>
          </w:tcPr>
          <w:p>
            <w:r>
              <w:rPr>
                <w:rFonts w:ascii="Times New Roman" w:hAnsi="Times New Roman"/>
                <w:sz w:val="20"/>
              </w:rPr>
              <w:t>TĂNG</w:t>
            </w:r>
          </w:p>
        </w:tc>
        <w:tc>
          <w:tcPr>
            <w:tcW w:type="dxa" w:w="2351"/>
            <w:tcW w:w="2268" w:type="dxa"/>
          </w:tcPr>
          <w:p>
            <w:r>
              <w:rPr>
                <w:rFonts w:ascii="Times New Roman" w:hAnsi="Times New Roman"/>
                <w:sz w:val="20"/>
              </w:rPr>
              <w:t>Thu nhập thấp tệ hơn</w:t>
            </w:r>
          </w:p>
        </w:tc>
      </w:tr>
    </w:tbl>
    <w:p/>
    <w:p>
      <w:r>
        <w:rPr>
          <w:rFonts w:ascii="Times New Roman" w:hAnsi="Times New Roman"/>
          <w:b/>
          <w:color w:val="0070C0"/>
          <w:sz w:val="24"/>
        </w:rPr>
        <w:t>Bảng 2. So sánh xu hướng Hàn Quốc với các nước: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Nước</w:t>
            </w:r>
          </w:p>
        </w:tc>
        <w:tc>
          <w:tcPr>
            <w:tcW w:type="dxa" w:w="2351"/>
            <w:tcW w:w="1701" w:type="dxa"/>
            <w:shd w:fill="D9E2F3" w:val="clear"/>
          </w:tcPr>
          <w:p>
            <w:pPr>
              <w:jc w:val="center"/>
            </w:pPr>
            <w:r>
              <w:rPr>
                <w:rFonts w:ascii="Times New Roman" w:hAnsi="Times New Roman"/>
                <w:b/>
                <w:sz w:val="20"/>
              </w:rPr>
              <w:t>Giai đoạn</w:t>
            </w:r>
          </w:p>
        </w:tc>
        <w:tc>
          <w:tcPr>
            <w:tcW w:type="dxa" w:w="2351"/>
            <w:tcW w:w="1701" w:type="dxa"/>
            <w:shd w:fill="D9E2F3" w:val="clear"/>
          </w:tcPr>
          <w:p>
            <w:pPr>
              <w:jc w:val="center"/>
            </w:pPr>
            <w:r>
              <w:rPr>
                <w:rFonts w:ascii="Times New Roman" w:hAnsi="Times New Roman"/>
                <w:b/>
                <w:sz w:val="20"/>
              </w:rPr>
              <w:t>Xu hướng</w:t>
            </w:r>
          </w:p>
        </w:tc>
        <w:tc>
          <w:tcPr>
            <w:tcW w:type="dxa" w:w="2351"/>
            <w:tcW w:w="2268" w:type="dxa"/>
            <w:shd w:fill="D9E2F3" w:val="clear"/>
          </w:tcPr>
          <w:p>
            <w:pPr>
              <w:jc w:val="center"/>
            </w:pPr>
            <w:r>
              <w:rPr>
                <w:rFonts w:ascii="Times New Roman" w:hAnsi="Times New Roman"/>
                <w:b/>
                <w:sz w:val="20"/>
              </w:rPr>
              <w:t>Đặc thù</w:t>
            </w:r>
          </w:p>
        </w:tc>
      </w:tr>
      <w:tr>
        <w:tc>
          <w:tcPr>
            <w:tcW w:type="dxa" w:w="2351"/>
            <w:tcW w:w="1701" w:type="dxa"/>
          </w:tcPr>
          <w:p>
            <w:r>
              <w:rPr>
                <w:rFonts w:ascii="Times New Roman" w:hAnsi="Times New Roman"/>
                <w:sz w:val="20"/>
              </w:rPr>
              <w:t>Hàn Quốc (bài này)</w:t>
            </w:r>
          </w:p>
        </w:tc>
        <w:tc>
          <w:tcPr>
            <w:tcW w:type="dxa" w:w="2351"/>
            <w:tcW w:w="1701" w:type="dxa"/>
          </w:tcPr>
          <w:p>
            <w:r>
              <w:rPr>
                <w:rFonts w:ascii="Times New Roman" w:hAnsi="Times New Roman"/>
                <w:sz w:val="20"/>
              </w:rPr>
              <w:t>2006–2022 (16 năm)</w:t>
            </w:r>
          </w:p>
        </w:tc>
        <w:tc>
          <w:tcPr>
            <w:tcW w:type="dxa" w:w="2351"/>
            <w:tcW w:w="1701" w:type="dxa"/>
          </w:tcPr>
          <w:p>
            <w:r>
              <w:rPr>
                <w:rFonts w:ascii="Times New Roman" w:hAnsi="Times New Roman"/>
                <w:sz w:val="20"/>
              </w:rPr>
              <w:t>Giảm trước COVID, TĂNG sau</w:t>
            </w:r>
          </w:p>
        </w:tc>
        <w:tc>
          <w:tcPr>
            <w:tcW w:type="dxa" w:w="2351"/>
            <w:tcW w:w="2268" w:type="dxa"/>
          </w:tcPr>
          <w:p>
            <w:r>
              <w:rPr>
                <w:rFonts w:ascii="Times New Roman" w:hAnsi="Times New Roman"/>
                <w:sz w:val="20"/>
              </w:rPr>
              <w:t>Bất bình đẳng thu nhập mở rộng</w:t>
            </w:r>
          </w:p>
        </w:tc>
      </w:tr>
      <w:tr>
        <w:tc>
          <w:tcPr>
            <w:tcW w:type="dxa" w:w="2351"/>
            <w:tcW w:w="1701" w:type="dxa"/>
          </w:tcPr>
          <w:p>
            <w:r>
              <w:rPr>
                <w:rFonts w:ascii="Times New Roman" w:hAnsi="Times New Roman"/>
                <w:sz w:val="20"/>
              </w:rPr>
              <w:t>Hoa Kỳ (QT23)</w:t>
            </w:r>
          </w:p>
        </w:tc>
        <w:tc>
          <w:tcPr>
            <w:tcW w:type="dxa" w:w="2351"/>
            <w:tcW w:w="1701" w:type="dxa"/>
          </w:tcPr>
          <w:p>
            <w:r>
              <w:rPr>
                <w:rFonts w:ascii="Times New Roman" w:hAnsi="Times New Roman"/>
                <w:sz w:val="20"/>
              </w:rPr>
              <w:t>2013–2021 (8 năm)</w:t>
            </w:r>
          </w:p>
        </w:tc>
        <w:tc>
          <w:tcPr>
            <w:tcW w:type="dxa" w:w="2351"/>
            <w:tcW w:w="1701" w:type="dxa"/>
          </w:tcPr>
          <w:p>
            <w:r>
              <w:rPr>
                <w:rFonts w:ascii="Times New Roman" w:hAnsi="Times New Roman"/>
                <w:sz w:val="20"/>
              </w:rPr>
              <w:t>Lo âu tăng gấp đôi</w:t>
            </w:r>
          </w:p>
        </w:tc>
        <w:tc>
          <w:tcPr>
            <w:tcW w:type="dxa" w:w="2351"/>
            <w:tcW w:w="2268" w:type="dxa"/>
          </w:tcPr>
          <w:p>
            <w:r>
              <w:rPr>
                <w:rFonts w:ascii="Times New Roman" w:hAnsi="Times New Roman"/>
                <w:sz w:val="20"/>
              </w:rPr>
              <w:t>Hệ thống y tế công</w:t>
            </w:r>
          </w:p>
        </w:tc>
      </w:tr>
      <w:tr>
        <w:tc>
          <w:tcPr>
            <w:tcW w:type="dxa" w:w="2351"/>
            <w:tcW w:w="1701" w:type="dxa"/>
          </w:tcPr>
          <w:p>
            <w:r>
              <w:rPr>
                <w:rFonts w:ascii="Times New Roman" w:hAnsi="Times New Roman"/>
                <w:sz w:val="20"/>
              </w:rPr>
              <w:t>Na Uy (QT21)</w:t>
            </w:r>
          </w:p>
        </w:tc>
        <w:tc>
          <w:tcPr>
            <w:tcW w:type="dxa" w:w="2351"/>
            <w:tcW w:w="1701" w:type="dxa"/>
          </w:tcPr>
          <w:p>
            <w:r>
              <w:rPr>
                <w:rFonts w:ascii="Times New Roman" w:hAnsi="Times New Roman"/>
                <w:sz w:val="20"/>
              </w:rPr>
              <w:t>2011–2024 (13 năm)</w:t>
            </w:r>
          </w:p>
        </w:tc>
        <w:tc>
          <w:tcPr>
            <w:tcW w:type="dxa" w:w="2351"/>
            <w:tcW w:w="1701" w:type="dxa"/>
          </w:tcPr>
          <w:p>
            <w:r>
              <w:rPr>
                <w:rFonts w:ascii="Times New Roman" w:hAnsi="Times New Roman"/>
                <w:sz w:val="20"/>
              </w:rPr>
              <w:t>Tăng liên tục</w:t>
            </w:r>
          </w:p>
        </w:tc>
        <w:tc>
          <w:tcPr>
            <w:tcW w:type="dxa" w:w="2351"/>
            <w:tcW w:w="2268" w:type="dxa"/>
          </w:tcPr>
          <w:p>
            <w:r>
              <w:rPr>
                <w:rFonts w:ascii="Times New Roman" w:hAnsi="Times New Roman"/>
                <w:sz w:val="20"/>
              </w:rPr>
              <w:t>Trường học + MXH</w:t>
            </w:r>
          </w:p>
        </w:tc>
      </w:tr>
      <w:tr>
        <w:tc>
          <w:tcPr>
            <w:tcW w:type="dxa" w:w="2351"/>
            <w:tcW w:w="1701" w:type="dxa"/>
          </w:tcPr>
          <w:p>
            <w:r>
              <w:rPr>
                <w:rFonts w:ascii="Times New Roman" w:hAnsi="Times New Roman"/>
                <w:sz w:val="20"/>
              </w:rPr>
              <w:t>Ireland (QT32)</w:t>
            </w:r>
          </w:p>
        </w:tc>
        <w:tc>
          <w:tcPr>
            <w:tcW w:type="dxa" w:w="2351"/>
            <w:tcW w:w="1701" w:type="dxa"/>
          </w:tcPr>
          <w:p>
            <w:r>
              <w:rPr>
                <w:rFonts w:ascii="Times New Roman" w:hAnsi="Times New Roman"/>
                <w:sz w:val="20"/>
              </w:rPr>
              <w:t>2012–2019 (7 năm)</w:t>
            </w:r>
          </w:p>
        </w:tc>
        <w:tc>
          <w:tcPr>
            <w:tcW w:type="dxa" w:w="2351"/>
            <w:tcW w:w="1701" w:type="dxa"/>
          </w:tcPr>
          <w:p>
            <w:r>
              <w:rPr>
                <w:rFonts w:ascii="Times New Roman" w:hAnsi="Times New Roman"/>
                <w:sz w:val="20"/>
              </w:rPr>
              <w:t>Tăng, nữ nhanh hơn</w:t>
            </w:r>
          </w:p>
        </w:tc>
        <w:tc>
          <w:tcPr>
            <w:tcW w:type="dxa" w:w="2351"/>
            <w:tcW w:w="2268" w:type="dxa"/>
          </w:tcPr>
          <w:p>
            <w:r>
              <w:rPr>
                <w:rFonts w:ascii="Times New Roman" w:hAnsi="Times New Roman"/>
                <w:sz w:val="20"/>
              </w:rPr>
              <w:t>Cắt ngang lặp lại</w:t>
            </w:r>
          </w:p>
        </w:tc>
      </w:tr>
      <w:tr>
        <w:tc>
          <w:tcPr>
            <w:tcW w:type="dxa" w:w="2351"/>
            <w:tcW w:w="1701" w:type="dxa"/>
          </w:tcPr>
          <w:p>
            <w:r>
              <w:rPr>
                <w:rFonts w:ascii="Times New Roman" w:hAnsi="Times New Roman"/>
                <w:sz w:val="20"/>
              </w:rPr>
              <w:t>Việt Nam (VN14)</w:t>
            </w:r>
          </w:p>
        </w:tc>
        <w:tc>
          <w:tcPr>
            <w:tcW w:type="dxa" w:w="2351"/>
            <w:tcW w:w="1701" w:type="dxa"/>
          </w:tcPr>
          <w:p>
            <w:r>
              <w:rPr>
                <w:rFonts w:ascii="Times New Roman" w:hAnsi="Times New Roman"/>
                <w:sz w:val="20"/>
              </w:rPr>
              <w:t>2021 vs 2023</w:t>
            </w:r>
          </w:p>
        </w:tc>
        <w:tc>
          <w:tcPr>
            <w:tcW w:type="dxa" w:w="2351"/>
            <w:tcW w:w="1701" w:type="dxa"/>
          </w:tcPr>
          <w:p>
            <w:r>
              <w:rPr>
                <w:rFonts w:ascii="Times New Roman" w:hAnsi="Times New Roman"/>
                <w:sz w:val="20"/>
              </w:rPr>
              <w:t>41,5% → 25,4%</w:t>
            </w:r>
          </w:p>
        </w:tc>
        <w:tc>
          <w:tcPr>
            <w:tcW w:type="dxa" w:w="2351"/>
            <w:tcW w:w="2268" w:type="dxa"/>
          </w:tcPr>
          <w:p>
            <w:r>
              <w:rPr>
                <w:rFonts w:ascii="Times New Roman" w:hAnsi="Times New Roman"/>
                <w:sz w:val="20"/>
              </w:rPr>
              <w:t>Phục hồi sau COVID</w:t>
            </w:r>
          </w:p>
        </w:tc>
      </w:tr>
      <w:tr>
        <w:tc>
          <w:tcPr>
            <w:tcW w:type="dxa" w:w="2351"/>
            <w:tcW w:w="1701" w:type="dxa"/>
          </w:tcPr>
          <w:p>
            <w:r>
              <w:rPr>
                <w:rFonts w:ascii="Times New Roman" w:hAnsi="Times New Roman"/>
                <w:sz w:val="20"/>
              </w:rPr>
              <w:t>Toàn cầu (QT30)</w:t>
            </w:r>
          </w:p>
        </w:tc>
        <w:tc>
          <w:tcPr>
            <w:tcW w:type="dxa" w:w="2351"/>
            <w:tcW w:w="1701" w:type="dxa"/>
          </w:tcPr>
          <w:p>
            <w:r>
              <w:rPr>
                <w:rFonts w:ascii="Times New Roman" w:hAnsi="Times New Roman"/>
                <w:sz w:val="20"/>
              </w:rPr>
              <w:t>1990–2021 (31 năm)</w:t>
            </w:r>
          </w:p>
        </w:tc>
        <w:tc>
          <w:tcPr>
            <w:tcW w:type="dxa" w:w="2351"/>
            <w:tcW w:w="1701" w:type="dxa"/>
          </w:tcPr>
          <w:p>
            <w:r>
              <w:rPr>
                <w:rFonts w:ascii="Times New Roman" w:hAnsi="Times New Roman"/>
                <w:sz w:val="20"/>
              </w:rPr>
              <w:t>AAPC 0,84%</w:t>
            </w:r>
          </w:p>
        </w:tc>
        <w:tc>
          <w:tcPr>
            <w:tcW w:type="dxa" w:w="2351"/>
            <w:tcW w:w="2268" w:type="dxa"/>
          </w:tcPr>
          <w:p>
            <w:r>
              <w:rPr>
                <w:rFonts w:ascii="Times New Roman" w:hAnsi="Times New Roman"/>
                <w:sz w:val="20"/>
              </w:rPr>
              <w:t>GBD 204 nước</w:t>
            </w:r>
          </w:p>
        </w:tc>
      </w:tr>
    </w:tbl>
    <w:p/>
    <w:p>
      <w:r>
        <w:rPr>
          <w:rFonts w:ascii="Times New Roman" w:hAnsi="Times New Roman"/>
          <w:b/>
          <w:color w:val="0070C0"/>
          <w:sz w:val="24"/>
        </w:rPr>
        <w:t>Bảng 3. Bất bình đẳng thu nhập và SKTT: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417" w:type="dxa"/>
            <w:shd w:fill="D9E2F3" w:val="clear"/>
          </w:tcPr>
          <w:p>
            <w:pPr>
              <w:jc w:val="center"/>
            </w:pPr>
            <w:r>
              <w:rPr>
                <w:rFonts w:ascii="Times New Roman" w:hAnsi="Times New Roman"/>
                <w:b/>
                <w:sz w:val="20"/>
              </w:rPr>
              <w:t>Thu nhập</w:t>
            </w:r>
          </w:p>
        </w:tc>
        <w:tc>
          <w:tcPr>
            <w:tcW w:type="dxa" w:w="1881"/>
            <w:tcW w:w="1417" w:type="dxa"/>
            <w:shd w:fill="D9E2F3" w:val="clear"/>
          </w:tcPr>
          <w:p>
            <w:pPr>
              <w:jc w:val="center"/>
            </w:pPr>
            <w:r>
              <w:rPr>
                <w:rFonts w:ascii="Times New Roman" w:hAnsi="Times New Roman"/>
                <w:b/>
                <w:sz w:val="20"/>
              </w:rPr>
              <w:t>Stress 2022</w:t>
            </w:r>
          </w:p>
        </w:tc>
        <w:tc>
          <w:tcPr>
            <w:tcW w:type="dxa" w:w="1881"/>
            <w:tcW w:w="1417" w:type="dxa"/>
            <w:shd w:fill="D9E2F3" w:val="clear"/>
          </w:tcPr>
          <w:p>
            <w:pPr>
              <w:jc w:val="center"/>
            </w:pPr>
            <w:r>
              <w:rPr>
                <w:rFonts w:ascii="Times New Roman" w:hAnsi="Times New Roman"/>
                <w:b/>
                <w:sz w:val="20"/>
              </w:rPr>
              <w:t>Buồn bã</w:t>
            </w:r>
          </w:p>
        </w:tc>
        <w:tc>
          <w:tcPr>
            <w:tcW w:type="dxa" w:w="1881"/>
            <w:tcW w:w="1417" w:type="dxa"/>
            <w:shd w:fill="D9E2F3" w:val="clear"/>
          </w:tcPr>
          <w:p>
            <w:pPr>
              <w:jc w:val="center"/>
            </w:pPr>
            <w:r>
              <w:rPr>
                <w:rFonts w:ascii="Times New Roman" w:hAnsi="Times New Roman"/>
                <w:b/>
                <w:sz w:val="20"/>
              </w:rPr>
              <w:t>Tự tử</w:t>
            </w:r>
          </w:p>
        </w:tc>
        <w:tc>
          <w:tcPr>
            <w:tcW w:type="dxa" w:w="1881"/>
            <w:tcW w:w="1701" w:type="dxa"/>
            <w:shd w:fill="D9E2F3" w:val="clear"/>
          </w:tcPr>
          <w:p>
            <w:pPr>
              <w:jc w:val="center"/>
            </w:pPr>
            <w:r>
              <w:rPr>
                <w:rFonts w:ascii="Times New Roman" w:hAnsi="Times New Roman"/>
                <w:b/>
                <w:sz w:val="20"/>
              </w:rPr>
              <w:t>So với VN</w:t>
            </w:r>
          </w:p>
        </w:tc>
      </w:tr>
      <w:tr>
        <w:tc>
          <w:tcPr>
            <w:tcW w:type="dxa" w:w="1881"/>
            <w:tcW w:w="1417" w:type="dxa"/>
          </w:tcPr>
          <w:p>
            <w:r>
              <w:rPr>
                <w:rFonts w:ascii="Times New Roman" w:hAnsi="Times New Roman"/>
                <w:sz w:val="20"/>
              </w:rPr>
              <w:t>Cao nhất</w:t>
            </w:r>
          </w:p>
        </w:tc>
        <w:tc>
          <w:tcPr>
            <w:tcW w:type="dxa" w:w="1881"/>
            <w:tcW w:w="1417" w:type="dxa"/>
          </w:tcPr>
          <w:p>
            <w:r>
              <w:rPr>
                <w:rFonts w:ascii="Times New Roman" w:hAnsi="Times New Roman"/>
                <w:sz w:val="20"/>
              </w:rPr>
              <w:t>40,1%</w:t>
            </w:r>
          </w:p>
        </w:tc>
        <w:tc>
          <w:tcPr>
            <w:tcW w:type="dxa" w:w="1881"/>
            <w:tcW w:w="1417" w:type="dxa"/>
          </w:tcPr>
          <w:p>
            <w:r>
              <w:rPr>
                <w:rFonts w:ascii="Times New Roman" w:hAnsi="Times New Roman"/>
                <w:sz w:val="20"/>
              </w:rPr>
              <w:t>Thấp hơn</w:t>
            </w:r>
          </w:p>
        </w:tc>
        <w:tc>
          <w:tcPr>
            <w:tcW w:type="dxa" w:w="1881"/>
            <w:tcW w:w="1417" w:type="dxa"/>
          </w:tcPr>
          <w:p>
            <w:r>
              <w:rPr>
                <w:rFonts w:ascii="Times New Roman" w:hAnsi="Times New Roman"/>
                <w:sz w:val="20"/>
              </w:rPr>
              <w:t>Thấp hơn</w:t>
            </w:r>
          </w:p>
        </w:tc>
        <w:tc>
          <w:tcPr>
            <w:tcW w:type="dxa" w:w="1881"/>
            <w:tcW w:w="1701" w:type="dxa"/>
          </w:tcPr>
          <w:p>
            <w:r>
              <w:rPr>
                <w:rFonts w:ascii="Times New Roman" w:hAnsi="Times New Roman"/>
                <w:sz w:val="20"/>
              </w:rPr>
            </w:r>
          </w:p>
        </w:tc>
      </w:tr>
      <w:tr>
        <w:tc>
          <w:tcPr>
            <w:tcW w:type="dxa" w:w="1881"/>
            <w:tcW w:w="1417" w:type="dxa"/>
          </w:tcPr>
          <w:p>
            <w:r>
              <w:rPr>
                <w:rFonts w:ascii="Times New Roman" w:hAnsi="Times New Roman"/>
                <w:sz w:val="20"/>
              </w:rPr>
              <w:t>Thấp nhất</w:t>
            </w:r>
          </w:p>
        </w:tc>
        <w:tc>
          <w:tcPr>
            <w:tcW w:type="dxa" w:w="1881"/>
            <w:tcW w:w="1417" w:type="dxa"/>
          </w:tcPr>
          <w:p>
            <w:r>
              <w:rPr>
                <w:rFonts w:ascii="Times New Roman" w:hAnsi="Times New Roman"/>
                <w:sz w:val="20"/>
              </w:rPr>
              <w:t>62,8%</w:t>
            </w:r>
          </w:p>
        </w:tc>
        <w:tc>
          <w:tcPr>
            <w:tcW w:type="dxa" w:w="1881"/>
            <w:tcW w:w="1417" w:type="dxa"/>
          </w:tcPr>
          <w:p>
            <w:r>
              <w:rPr>
                <w:rFonts w:ascii="Times New Roman" w:hAnsi="Times New Roman"/>
                <w:sz w:val="20"/>
              </w:rPr>
              <w:t>Cao hơn</w:t>
            </w:r>
          </w:p>
        </w:tc>
        <w:tc>
          <w:tcPr>
            <w:tcW w:type="dxa" w:w="1881"/>
            <w:tcW w:w="1417" w:type="dxa"/>
          </w:tcPr>
          <w:p>
            <w:r>
              <w:rPr>
                <w:rFonts w:ascii="Times New Roman" w:hAnsi="Times New Roman"/>
                <w:sz w:val="20"/>
              </w:rPr>
              <w:t>Cao hơn</w:t>
            </w:r>
          </w:p>
        </w:tc>
        <w:tc>
          <w:tcPr>
            <w:tcW w:type="dxa" w:w="1881"/>
            <w:tcW w:w="1701" w:type="dxa"/>
          </w:tcPr>
          <w:p>
            <w:r>
              <w:rPr>
                <w:rFonts w:ascii="Times New Roman" w:hAnsi="Times New Roman"/>
                <w:sz w:val="20"/>
              </w:rPr>
            </w:r>
          </w:p>
        </w:tc>
      </w:tr>
      <w:tr>
        <w:tc>
          <w:tcPr>
            <w:tcW w:type="dxa" w:w="1881"/>
            <w:tcW w:w="1417" w:type="dxa"/>
          </w:tcPr>
          <w:p>
            <w:r>
              <w:rPr>
                <w:rFonts w:ascii="Times New Roman" w:hAnsi="Times New Roman"/>
                <w:sz w:val="20"/>
              </w:rPr>
              <w:t>Chênh lệch</w:t>
            </w:r>
          </w:p>
        </w:tc>
        <w:tc>
          <w:tcPr>
            <w:tcW w:type="dxa" w:w="1881"/>
            <w:tcW w:w="1417" w:type="dxa"/>
          </w:tcPr>
          <w:p>
            <w:r>
              <w:rPr>
                <w:rFonts w:ascii="Times New Roman" w:hAnsi="Times New Roman"/>
                <w:sz w:val="20"/>
              </w:rPr>
              <w:t>22,7 điểm</w:t>
            </w:r>
          </w:p>
        </w:tc>
        <w:tc>
          <w:tcPr>
            <w:tcW w:type="dxa" w:w="1881"/>
            <w:tcW w:w="1417" w:type="dxa"/>
          </w:tcPr>
          <w:p>
            <w:r>
              <w:rPr>
                <w:rFonts w:ascii="Times New Roman" w:hAnsi="Times New Roman"/>
                <w:sz w:val="20"/>
              </w:rPr>
              <w:t>Mở rộng sau COVID</w:t>
            </w:r>
          </w:p>
        </w:tc>
        <w:tc>
          <w:tcPr>
            <w:tcW w:type="dxa" w:w="1881"/>
            <w:tcW w:w="1417" w:type="dxa"/>
          </w:tcPr>
          <w:p>
            <w:r>
              <w:rPr>
                <w:rFonts w:ascii="Times New Roman" w:hAnsi="Times New Roman"/>
                <w:sz w:val="20"/>
              </w:rPr>
            </w:r>
          </w:p>
        </w:tc>
        <w:tc>
          <w:tcPr>
            <w:tcW w:type="dxa" w:w="1881"/>
            <w:tcW w:w="1701" w:type="dxa"/>
          </w:tcPr>
          <w:p>
            <w:r>
              <w:rPr>
                <w:rFonts w:ascii="Times New Roman" w:hAnsi="Times New Roman"/>
                <w:sz w:val="20"/>
              </w:rPr>
              <w:t>VN: chưa có dữ liệu theo thu nhập</w:t>
            </w:r>
          </w:p>
        </w:tc>
      </w:tr>
    </w:tbl>
    <w:p/>
    <w:p>
      <w:pPr>
        <w:pStyle w:val="Heading3"/>
      </w:pPr>
      <w:r>
        <w:rPr>
          <w:rFonts w:ascii="Times New Roman" w:hAnsi="Times New Roman"/>
          <w:color w:val="0070C0"/>
        </w:rPr>
        <w:t>Đối chiếu liên bài : Hàn Quốc là NƯỚC DUY NHẤT trong Đề tài cho thấy SKTT VTN CẢI THIỆN trước COVID (2006–2019) rồi XẤU ĐI sau COVID — mô hình ngược với phương Tây (tăng liên tục). Đáng chú ý, bất bình đẳng thu nhập MỞ RỘNG sau COVID — gợi ý COVID tác động nặng hơn lên nhóm nghèo. Tại VN, chưa có dữ liệu phân tầng theo thu nhập cho SKTT VTN — đây là GAP quan trọng.</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*Xu hướng đảo chiều.* SKTT cải thiện 13 năm (2006–2019) rồi xấu đi sau COVID — mô hình độc đáo so với phương Tây (tăng liên tục). Có thể do chính sách SKTT học đường Hàn Quốc hiệu quả trước COVID.</w:t>
      </w:r>
    </w:p>
    <w:p>
      <w:r>
        <w:rPr>
          <w:rFonts w:ascii="Times New Roman" w:hAnsi="Times New Roman"/>
          <w:b w:val="0"/>
          <w:color w:val="0070C0"/>
          <w:sz w:val="24"/>
        </w:rPr>
        <w:t>*Bất bình đẳng thu nhập.* Chênh lệch stress 22,7 điểm giữa nhóm giàu-nghèo là rất lớn. COVID làm khoảng cách MỞ RỘNG — nhóm nghèo bị ảnh hưởng nặng hơn.</w:t>
      </w:r>
    </w:p>
    <w:p>
      <w:r>
        <w:rPr>
          <w:rFonts w:ascii="Times New Roman" w:hAnsi="Times New Roman"/>
          <w:b w:val="0"/>
          <w:color w:val="0070C0"/>
          <w:sz w:val="24"/>
        </w:rPr>
        <w:t>*Tự tử tăng sau COVID.* Hàn Quốc có tỷ lệ tự tử VTN cao nhất OECD — dữ liệu này xác nhận xu hướng đáng lo ngại.</w:t>
      </w:r>
    </w:p>
    <w:p>
      <w:r>
        <w:rPr>
          <w:rFonts w:ascii="Times New Roman" w:hAnsi="Times New Roman"/>
          <w:b/>
          <w:color w:val="FF0000"/>
          <w:sz w:val="24"/>
        </w:rPr>
        <w:t>Kết luận</w:t>
      </w:r>
    </w:p>
    <w:p>
      <w:r>
        <w:rPr>
          <w:rFonts w:ascii="Times New Roman" w:hAnsi="Times New Roman"/>
          <w:b/>
          <w:color w:val="0070C0"/>
          <w:sz w:val="24"/>
        </w:rPr>
        <w:t>Dữ liệu KYRBS quốc gia 16 năm, cho thấy SKTT VTN Hàn Quốc cải thiện trước COVID nhưng xấu đi đáng kể sau COVID, với bất bình đẳng thu nhập mở rộng (stress: 62,8% nhóm nghèo vs 40,1% nhóm giàu), gợi ý rằng (1) can thiệp SKTT có thể hiệu quả (giai đoạn cải thiện 2006–2019), nhưng (2) COVID đảo ngược tiến bộ, đặc biệt ở nhóm nghèo. Tại VN, cần phân tích SKTT theo thu nhập để đánh giá bất bình đẳng tương tự.</w:t>
      </w:r>
    </w:p>
    <w:p>
      <w:pPr>
        <w:pStyle w:val="Heading2"/>
      </w:pPr>
      <w:r>
        <w:rPr>
          <w:rFonts w:ascii="Times New Roman" w:hAnsi="Times New Roman"/>
          <w:color w:val="FF0000"/>
        </w:rPr>
        <w:t>Phản biện</w:t>
      </w:r>
    </w:p>
    <w:p>
      <w:r>
        <w:rPr>
          <w:rFonts w:ascii="Times New Roman" w:hAnsi="Times New Roman"/>
          <w:b w:val="0"/>
          <w:color w:val="0070C0"/>
          <w:sz w:val="24"/>
        </w:rPr>
        <w:t>Nature Sci Rep Q1 IF = 4,6. KYRBS quốc gia 16 năm — xu hướng dài nhất trong Đề tài. Phân tầng theo thu nhập — ít NC nào làm. Tuy nhiên, chỉ Hàn Quốc (khác VN về hệ thống giáo dục, kinh tế). Đo stress/buồn bã (không tách lo âu riêng bằng GAD-7). KYRBS tự báo cáo trực tuyến — thiên lệch.</w:t>
      </w:r>
    </w:p>
    <w:p>
      <w:pPr>
        <w:pStyle w:val="Heading2"/>
      </w:pPr>
      <w:r>
        <w:rPr>
          <w:rFonts w:ascii="Times New Roman" w:hAnsi="Times New Roman"/>
          <w:color w:val="FF0000"/>
        </w:rPr>
        <w:t>Hướng nghiên cứu tiếp theo</w:t>
      </w:r>
    </w:p>
    <w:p>
      <w:r>
        <w:rPr>
          <w:rFonts w:ascii="Times New Roman" w:hAnsi="Times New Roman"/>
          <w:b w:val="0"/>
          <w:color w:val="0070C0"/>
          <w:sz w:val="24"/>
        </w:rPr>
        <w:t>Phân tích SKTT VTN VN theo thu nhập gia đình. So sánh xu hướng Hàn Quốc vs VN trước/sau COVID. Đánh giá chính sách SKTT học đường Hàn Quốc (giai đoạn cải thiện) để áp dụng cho VN.</w:t>
      </w:r>
    </w:p>
    <w:p>
      <w:r>
        <w:rPr>
          <w:rFonts w:ascii="Times New Roman" w:hAnsi="Times New Roman"/>
          <w:b/>
          <w:sz w:val="24"/>
        </w:rPr>
        <w:t>Đánh giá: ⭐⭐⭐⭐ Cao. Nature Q1, KYRBS 16 năm, bất bình đẳng thu nhập, mô hình đảo chiều COVID.</w:t>
      </w:r>
    </w:p>
    <w:p/>
    <w:p>
      <w:pPr>
        <w:spacing w:line="360" w:lineRule="auto"/>
      </w:pPr>
      <w:r>
        <w:rPr>
          <w:rFonts w:ascii="Times New Roman" w:hAnsi="Times New Roman"/>
          <w:b/>
          <w:sz w:val="26"/>
        </w:rPr>
        <w:t>Tham khao</w:t>
      </w:r>
    </w:p>
    <w:p>
      <w:pPr>
        <w:spacing w:line="360" w:lineRule="auto"/>
      </w:pPr>
      <w:r>
        <w:rPr>
          <w:rFonts w:ascii="Times New Roman" w:hAnsi="Times New Roman"/>
          <w:sz w:val="24"/>
        </w:rPr>
        <w:t>Korea Cho MH Trends NatSciRep (2024). [Tieu de bai bao: [khong co trong canonical]]. [Tap chi/Nguon: [khong co trong canonical]], [vol/issue/pages: [khong co trong canonical]].</w:t>
      </w:r>
    </w:p>
    <w:p>
      <w:pPr>
        <w:spacing w:line="360" w:lineRule="auto"/>
      </w:pPr>
      <w:r>
        <w:rPr>
          <w:rFonts w:ascii="Times New Roman" w:hAnsi="Times New Roman"/>
          <w:sz w:val="24"/>
        </w:rPr>
        <w:t>PDF path: 02_Papers-goc/The-gioi_Khac/QT034_Korea_Cho_MH_Trends_NatSciRep_2024.pdf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