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A68"/>
          <w:sz w:val="28"/>
        </w:rPr>
        <w:t>Tóm tắt bài VN002 — Khảo sát Sức khoẻ Tâm thần Vị thành niên Việt Nam (V-NAMHS 2022)</w:t>
      </w:r>
    </w:p>
    <w:p>
      <w:r>
        <w:rPr>
          <w:rFonts w:ascii="Times New Roman" w:hAnsi="Times New Roman"/>
          <w:i/>
          <w:color w:val="808080"/>
          <w:sz w:val="20"/>
        </w:rPr>
        <w:t>Cập nhật từ PDF gốc (14/04/2026) — rebuild theo Framework Jenkins + Nguyên tắc dịch v2.</w:t>
      </w:r>
    </w:p>
    <w:p>
      <w:r>
        <w:rPr>
          <w:rFonts w:ascii="Times New Roman" w:hAnsi="Times New Roman"/>
          <w:b/>
          <w:color w:val="1F3A68"/>
          <w:sz w:val="24"/>
        </w:rPr>
        <w:t>Tên công trình, tác giả, năm, mẫu khảo sát, đối tượng, khách thể, địa bàn khảo sát</w:t>
      </w:r>
    </w:p>
    <w:p>
      <w:r>
        <w:rPr>
          <w:rFonts w:ascii="Times New Roman" w:hAnsi="Times New Roman"/>
        </w:rPr>
        <w:t>Công trình "Viet Nam Adolescent Mental Health Survey (V-NAMHS): Report on Main Findings" của Vũ Mạnh Lợi, Nguyễn Đức Vinh (Viện Xã hội học, VASS); Đào Thị Khánh Hoa (Hội Xã hội học Việt Nam); Holly E. Erskine, Cartiah McGrath, Krystina Wallis, Sarah J. Blondell, Harvey A. Whiteford, James G. Scott (The University of Queensland); Robert Blum, Shoshanna Fine, Mengmeng Li, Astha Ramaiya (Johns Hopkins Bloomberg School of Public Health). Publish tháng 11/2022 bởi Institute of Sociology, Hà Nội. Báo cáo điều tra quốc gia ĐẦU TIÊN của Việt Nam về rối loạn sức khoẻ tâm thần ở vị thành niên 10–17 tuổi theo chuẩn chẩn đoán DSM-5 (DISC-5). Mẫu 5.996 cặp phụ huynh–vị thành niên từ 38 tỉnh/thành phố trải 4 vùng địa lý (Trung du miền núi phía Bắc + Tây Nguyên, Đồng bằng sông Hồng, Bắc Trung Bộ + Duyên hải miền Trung, Đông Nam Bộ + ĐBSCL), bao phủ cả đô thị và nông thôn.</w:t>
      </w:r>
    </w:p>
    <w:p>
      <w:r>
        <w:rPr>
          <w:rFonts w:ascii="Times New Roman" w:hAnsi="Times New Roman"/>
          <w:b/>
          <w:color w:val="1F3A68"/>
          <w:sz w:val="24"/>
        </w:rPr>
        <w:t>Phương pháp nghiên cứu</w:t>
      </w:r>
    </w:p>
    <w:p>
      <w:r>
        <w:rPr>
          <w:rFonts w:ascii="Times New Roman" w:hAnsi="Times New Roman"/>
        </w:rPr>
        <w:t>Điều tra cắt ngang hộ gia đình. Chọn ngẫu nhiên 200 Enumeration Areas (EA) phân đều 50 EA/vùng (25 đô thị + 25 nông thôn), 38 hộ/EA. Tổng 7.599 hộ được tiếp cận, 6.048 đủ điều kiện tham gia (response rate 81,1 %), loại 52 hộ dữ liệu không đầy đủ → mẫu cuối cùng 5.996 cặp. Công cụ đo: DISC-5 (Diagnostic Interview Schedule for Children Version 5) trên vị thành niên cho 5 module (social phobia, generalised anxiety disorder, major depressive disorder, PTSD, conduct disorder); module ADHD hỏi phụ huynh. Phụ huynh cũng hoàn thành PSC-17, PHQ-9, GAD-7. Vị thành niên còn trả lời Rosenberg Self-Esteem, bắt nạt, ACE, peer relationships, GEAS Family Connectedness, self-rated health, physical activity, sexual behaviour (12–17 tuổi, self-administered). Module COVID-19 phát triển riêng. Thu thập dữ liệu 21/9/2021 – 16/12/2021 (bắt đầu miền Bắc, sau miền Nam) với 127 phỏng vấn viên được đào tạo. Tỷ lệ và số lượng weighted theo phân bố tuổi–giới–đô thị/nông thôn của quần thể VTN VN 10–17. Adaptation: dịch tiếng Việt → dịch ngược tiếng Anh → rà soát bác sĩ lâm sàng VN → phản hồi tập huấn → pilot tại Hà Nội + Đồng Nai 2019–2020.</w:t>
      </w:r>
    </w:p>
    <w:p>
      <w:r>
        <w:rPr>
          <w:rFonts w:ascii="Times New Roman" w:hAnsi="Times New Roman"/>
          <w:b/>
          <w:color w:val="1F3A68"/>
          <w:sz w:val="24"/>
        </w:rPr>
        <w:t>Kết quả nghiên cứu (đã verify 42/42 claims vs PDF gốc)</w:t>
      </w:r>
    </w:p>
    <w:p>
      <w:r>
        <w:rPr>
          <w:rFonts w:ascii="Times New Roman" w:hAnsi="Times New Roman"/>
          <w:b/>
          <w:color w:val="2E548B"/>
          <w:sz w:val="22"/>
        </w:rPr>
        <w:t>1. Đặc điểm mẫu</w:t>
      </w:r>
    </w:p>
    <w:p>
      <w:r>
        <w:rPr>
          <w:rFonts w:ascii="Times New Roman" w:hAnsi="Times New Roman"/>
        </w:rPr>
        <w:t>• n = 5.996 cặp phụ huynh–VTN; tuổi VTN trung bình 13,3; 54,2 % ở 10–13 tuổi, 45,8 % ở 14–17</w:t>
      </w:r>
    </w:p>
    <w:p>
      <w:r>
        <w:rPr>
          <w:rFonts w:ascii="Times New Roman" w:hAnsi="Times New Roman"/>
        </w:rPr>
        <w:t>• 52,6 % nam, 47,5 % nữ [lưu ý bản gốc có thể đảo cột tỷ lệ nam/nữ]; 94,5 % hiện đi học; 94,6 % chưa từng làm việc</w:t>
      </w:r>
    </w:p>
    <w:p>
      <w:r>
        <w:rPr>
          <w:rFonts w:ascii="Times New Roman" w:hAnsi="Times New Roman"/>
        </w:rPr>
        <w:t>• Phụ huynh TB 44,2 tuổi; 71,7 % nữ; 63,6 % là mẹ/mẹ kế; 47 % hoàn thành ≤ THCS; 54,1 % toàn thời gian</w:t>
      </w:r>
    </w:p>
    <w:p>
      <w:r>
        <w:rPr>
          <w:rFonts w:ascii="Times New Roman" w:hAnsi="Times New Roman"/>
          <w:b/>
          <w:color w:val="2E548B"/>
          <w:sz w:val="22"/>
        </w:rPr>
        <w:t>2. Vấn đề SKTT (mental health problem, 12 tháng qua, weighted)</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Vấn đề</w:t>
            </w:r>
          </w:p>
        </w:tc>
        <w:tc>
          <w:tcPr>
            <w:tcW w:type="dxa" w:w="2880"/>
            <w:shd w:fill="D9E1F2"/>
          </w:tcPr>
          <w:p>
            <w:r/>
            <w:r>
              <w:rPr>
                <w:rFonts w:ascii="Times New Roman" w:hAnsi="Times New Roman"/>
                <w:b/>
                <w:sz w:val="20"/>
              </w:rPr>
              <w:t>Tỷ lệ %</w:t>
            </w:r>
          </w:p>
        </w:tc>
        <w:tc>
          <w:tcPr>
            <w:tcW w:type="dxa" w:w="2880"/>
            <w:shd w:fill="D9E1F2"/>
          </w:tcPr>
          <w:p>
            <w:r/>
            <w:r>
              <w:rPr>
                <w:rFonts w:ascii="Times New Roman" w:hAnsi="Times New Roman"/>
                <w:b/>
                <w:sz w:val="20"/>
              </w:rPr>
              <w:t>Ghi chú</w:t>
            </w:r>
          </w:p>
        </w:tc>
      </w:tr>
      <w:tr>
        <w:tc>
          <w:tcPr>
            <w:tcW w:type="dxa" w:w="2880"/>
          </w:tcPr>
          <w:p>
            <w:r/>
            <w:r>
              <w:rPr>
                <w:rFonts w:ascii="Times New Roman" w:hAnsi="Times New Roman"/>
                <w:sz w:val="20"/>
              </w:rPr>
              <w:t>Bất kỳ vấn đề SKTT</w:t>
            </w:r>
          </w:p>
        </w:tc>
        <w:tc>
          <w:tcPr>
            <w:tcW w:type="dxa" w:w="2880"/>
          </w:tcPr>
          <w:p>
            <w:r/>
            <w:r>
              <w:rPr>
                <w:rFonts w:ascii="Times New Roman" w:hAnsi="Times New Roman"/>
                <w:sz w:val="20"/>
              </w:rPr>
              <w:t>21,7</w:t>
            </w:r>
          </w:p>
        </w:tc>
        <w:tc>
          <w:tcPr>
            <w:tcW w:type="dxa" w:w="2880"/>
          </w:tcPr>
          <w:p>
            <w:r/>
            <w:r>
              <w:rPr>
                <w:rFonts w:ascii="Times New Roman" w:hAnsi="Times New Roman"/>
                <w:sz w:val="20"/>
              </w:rPr>
              <w:t>n = 1.301</w:t>
            </w:r>
          </w:p>
        </w:tc>
      </w:tr>
      <w:tr>
        <w:tc>
          <w:tcPr>
            <w:tcW w:type="dxa" w:w="2880"/>
          </w:tcPr>
          <w:p>
            <w:r/>
            <w:r>
              <w:rPr>
                <w:rFonts w:ascii="Times New Roman" w:hAnsi="Times New Roman"/>
                <w:sz w:val="20"/>
              </w:rPr>
              <w:t>Lo âu</w:t>
            </w:r>
          </w:p>
        </w:tc>
        <w:tc>
          <w:tcPr>
            <w:tcW w:type="dxa" w:w="2880"/>
          </w:tcPr>
          <w:p>
            <w:r/>
            <w:r>
              <w:rPr>
                <w:rFonts w:ascii="Times New Roman" w:hAnsi="Times New Roman"/>
                <w:sz w:val="20"/>
              </w:rPr>
              <w:t>18,6</w:t>
            </w:r>
          </w:p>
        </w:tc>
        <w:tc>
          <w:tcPr>
            <w:tcW w:type="dxa" w:w="2880"/>
          </w:tcPr>
          <w:p>
            <w:r/>
            <w:r>
              <w:rPr>
                <w:rFonts w:ascii="Times New Roman" w:hAnsi="Times New Roman"/>
                <w:sz w:val="20"/>
              </w:rPr>
              <w:t>Phổ biến nhất</w:t>
            </w:r>
          </w:p>
        </w:tc>
      </w:tr>
      <w:tr>
        <w:tc>
          <w:tcPr>
            <w:tcW w:type="dxa" w:w="2880"/>
          </w:tcPr>
          <w:p>
            <w:r/>
            <w:r>
              <w:rPr>
                <w:rFonts w:ascii="Times New Roman" w:hAnsi="Times New Roman"/>
                <w:sz w:val="20"/>
              </w:rPr>
              <w:t>Trầm cảm</w:t>
            </w:r>
          </w:p>
        </w:tc>
        <w:tc>
          <w:tcPr>
            <w:tcW w:type="dxa" w:w="2880"/>
          </w:tcPr>
          <w:p>
            <w:r/>
            <w:r>
              <w:rPr>
                <w:rFonts w:ascii="Times New Roman" w:hAnsi="Times New Roman"/>
                <w:sz w:val="20"/>
              </w:rPr>
              <w:t>4,3</w:t>
            </w:r>
          </w:p>
        </w:tc>
        <w:tc>
          <w:tcPr>
            <w:tcW w:type="dxa" w:w="2880"/>
          </w:tcPr>
          <w:p>
            <w:r/>
            <w:r>
              <w:rPr>
                <w:rFonts w:ascii="Times New Roman" w:hAnsi="Times New Roman"/>
                <w:sz w:val="20"/>
              </w:rPr>
            </w:r>
          </w:p>
        </w:tc>
      </w:tr>
      <w:tr>
        <w:tc>
          <w:tcPr>
            <w:tcW w:type="dxa" w:w="2880"/>
          </w:tcPr>
          <w:p>
            <w:r/>
            <w:r>
              <w:rPr>
                <w:rFonts w:ascii="Times New Roman" w:hAnsi="Times New Roman"/>
                <w:sz w:val="20"/>
              </w:rPr>
              <w:t>Vấn đề mất chú ý/tăng động</w:t>
            </w:r>
          </w:p>
        </w:tc>
        <w:tc>
          <w:tcPr>
            <w:tcW w:type="dxa" w:w="2880"/>
          </w:tcPr>
          <w:p>
            <w:r/>
            <w:r>
              <w:rPr>
                <w:rFonts w:ascii="Times New Roman" w:hAnsi="Times New Roman"/>
                <w:sz w:val="20"/>
              </w:rPr>
              <w:t>2,8</w:t>
            </w:r>
          </w:p>
        </w:tc>
        <w:tc>
          <w:tcPr>
            <w:tcW w:type="dxa" w:w="2880"/>
          </w:tcPr>
          <w:p>
            <w:r/>
            <w:r>
              <w:rPr>
                <w:rFonts w:ascii="Times New Roman" w:hAnsi="Times New Roman"/>
                <w:sz w:val="20"/>
              </w:rPr>
            </w:r>
          </w:p>
        </w:tc>
      </w:tr>
      <w:tr>
        <w:tc>
          <w:tcPr>
            <w:tcW w:type="dxa" w:w="2880"/>
          </w:tcPr>
          <w:p>
            <w:r/>
            <w:r>
              <w:rPr>
                <w:rFonts w:ascii="Times New Roman" w:hAnsi="Times New Roman"/>
                <w:sz w:val="20"/>
              </w:rPr>
              <w:t>Căng thẳng sau sang chấn</w:t>
            </w:r>
          </w:p>
        </w:tc>
        <w:tc>
          <w:tcPr>
            <w:tcW w:type="dxa" w:w="2880"/>
          </w:tcPr>
          <w:p>
            <w:r/>
            <w:r>
              <w:rPr>
                <w:rFonts w:ascii="Times New Roman" w:hAnsi="Times New Roman"/>
                <w:sz w:val="20"/>
              </w:rPr>
              <w:t>1,0</w:t>
            </w:r>
          </w:p>
        </w:tc>
        <w:tc>
          <w:tcPr>
            <w:tcW w:type="dxa" w:w="2880"/>
          </w:tcPr>
          <w:p>
            <w:r/>
            <w:r>
              <w:rPr>
                <w:rFonts w:ascii="Times New Roman" w:hAnsi="Times New Roman"/>
                <w:sz w:val="20"/>
              </w:rPr>
            </w:r>
          </w:p>
        </w:tc>
      </w:tr>
      <w:tr>
        <w:tc>
          <w:tcPr>
            <w:tcW w:type="dxa" w:w="2880"/>
          </w:tcPr>
          <w:p>
            <w:r/>
            <w:r>
              <w:rPr>
                <w:rFonts w:ascii="Times New Roman" w:hAnsi="Times New Roman"/>
                <w:sz w:val="20"/>
              </w:rPr>
              <w:t>Vấn đề hành vi</w:t>
            </w:r>
          </w:p>
        </w:tc>
        <w:tc>
          <w:tcPr>
            <w:tcW w:type="dxa" w:w="2880"/>
          </w:tcPr>
          <w:p>
            <w:r/>
            <w:r>
              <w:rPr>
                <w:rFonts w:ascii="Times New Roman" w:hAnsi="Times New Roman"/>
                <w:sz w:val="20"/>
              </w:rPr>
              <w:t>0,7</w:t>
            </w:r>
          </w:p>
        </w:tc>
        <w:tc>
          <w:tcPr>
            <w:tcW w:type="dxa" w:w="2880"/>
          </w:tcPr>
          <w:p>
            <w:r/>
            <w:r>
              <w:rPr>
                <w:rFonts w:ascii="Times New Roman" w:hAnsi="Times New Roman"/>
                <w:sz w:val="20"/>
              </w:rPr>
            </w:r>
          </w:p>
        </w:tc>
      </w:tr>
    </w:tbl>
    <w:p>
      <w:r>
        <w:rPr>
          <w:rFonts w:ascii="Times New Roman" w:hAnsi="Times New Roman"/>
        </w:rPr>
        <w:t>Không có khác biệt theo giới (nam 20,8 % vs nữ 22,6 %) hay nhóm tuổi (10–13: 20,8 % vs 14–17: 22,7 %).</w:t>
      </w:r>
    </w:p>
    <w:p>
      <w:r>
        <w:rPr>
          <w:rFonts w:ascii="Times New Roman" w:hAnsi="Times New Roman"/>
          <w:b/>
          <w:color w:val="2E548B"/>
          <w:sz w:val="22"/>
        </w:rPr>
        <w:t>3. Rối loạn tâm thần (DSM-5 full criteria, 12 tháng qua)</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Rối loạn</w:t>
            </w:r>
          </w:p>
        </w:tc>
        <w:tc>
          <w:tcPr>
            <w:tcW w:type="dxa" w:w="2880"/>
            <w:shd w:fill="D9E1F2"/>
          </w:tcPr>
          <w:p>
            <w:r/>
            <w:r>
              <w:rPr>
                <w:rFonts w:ascii="Times New Roman" w:hAnsi="Times New Roman"/>
                <w:b/>
                <w:sz w:val="20"/>
              </w:rPr>
              <w:t>Tỷ lệ %</w:t>
            </w:r>
          </w:p>
        </w:tc>
        <w:tc>
          <w:tcPr>
            <w:tcW w:type="dxa" w:w="2880"/>
            <w:shd w:fill="D9E1F2"/>
          </w:tcPr>
          <w:p>
            <w:r/>
            <w:r>
              <w:rPr>
                <w:rFonts w:ascii="Times New Roman" w:hAnsi="Times New Roman"/>
                <w:b/>
                <w:sz w:val="20"/>
              </w:rPr>
              <w:t>n</w:t>
            </w:r>
          </w:p>
        </w:tc>
      </w:tr>
      <w:tr>
        <w:tc>
          <w:tcPr>
            <w:tcW w:type="dxa" w:w="2880"/>
          </w:tcPr>
          <w:p>
            <w:r/>
            <w:r>
              <w:rPr>
                <w:rFonts w:ascii="Times New Roman" w:hAnsi="Times New Roman"/>
                <w:sz w:val="20"/>
              </w:rPr>
              <w:t>Bất kỳ rối loạn</w:t>
            </w:r>
          </w:p>
        </w:tc>
        <w:tc>
          <w:tcPr>
            <w:tcW w:type="dxa" w:w="2880"/>
          </w:tcPr>
          <w:p>
            <w:r/>
            <w:r>
              <w:rPr>
                <w:rFonts w:ascii="Times New Roman" w:hAnsi="Times New Roman"/>
                <w:sz w:val="20"/>
              </w:rPr>
              <w:t>3,3</w:t>
            </w:r>
          </w:p>
        </w:tc>
        <w:tc>
          <w:tcPr>
            <w:tcW w:type="dxa" w:w="2880"/>
          </w:tcPr>
          <w:p>
            <w:r/>
            <w:r>
              <w:rPr>
                <w:rFonts w:ascii="Times New Roman" w:hAnsi="Times New Roman"/>
                <w:sz w:val="20"/>
              </w:rPr>
              <w:t>200</w:t>
            </w:r>
          </w:p>
        </w:tc>
      </w:tr>
      <w:tr>
        <w:tc>
          <w:tcPr>
            <w:tcW w:type="dxa" w:w="2880"/>
          </w:tcPr>
          <w:p>
            <w:r/>
            <w:r>
              <w:rPr>
                <w:rFonts w:ascii="Times New Roman" w:hAnsi="Times New Roman"/>
                <w:sz w:val="20"/>
              </w:rPr>
              <w:t>≥ 2 rối loạn</w:t>
            </w:r>
          </w:p>
        </w:tc>
        <w:tc>
          <w:tcPr>
            <w:tcW w:type="dxa" w:w="2880"/>
          </w:tcPr>
          <w:p>
            <w:r/>
            <w:r>
              <w:rPr>
                <w:rFonts w:ascii="Times New Roman" w:hAnsi="Times New Roman"/>
                <w:sz w:val="20"/>
              </w:rPr>
              <w:t>0,6</w:t>
            </w:r>
          </w:p>
        </w:tc>
        <w:tc>
          <w:tcPr>
            <w:tcW w:type="dxa" w:w="2880"/>
          </w:tcPr>
          <w:p>
            <w:r/>
            <w:r>
              <w:rPr>
                <w:rFonts w:ascii="Times New Roman" w:hAnsi="Times New Roman"/>
                <w:sz w:val="20"/>
              </w:rPr>
              <w:t>38</w:t>
            </w:r>
          </w:p>
        </w:tc>
      </w:tr>
      <w:tr>
        <w:tc>
          <w:tcPr>
            <w:tcW w:type="dxa" w:w="2880"/>
          </w:tcPr>
          <w:p>
            <w:r/>
            <w:r>
              <w:rPr>
                <w:rFonts w:ascii="Times New Roman" w:hAnsi="Times New Roman"/>
                <w:sz w:val="20"/>
              </w:rPr>
              <w:t>Anxiety disorders (ám ảnh XH + lo âu tổng quát)</w:t>
            </w:r>
          </w:p>
        </w:tc>
        <w:tc>
          <w:tcPr>
            <w:tcW w:type="dxa" w:w="2880"/>
          </w:tcPr>
          <w:p>
            <w:r/>
            <w:r>
              <w:rPr>
                <w:rFonts w:ascii="Times New Roman" w:hAnsi="Times New Roman"/>
                <w:sz w:val="20"/>
              </w:rPr>
              <w:t>2,3</w:t>
            </w:r>
          </w:p>
        </w:tc>
        <w:tc>
          <w:tcPr>
            <w:tcW w:type="dxa" w:w="2880"/>
          </w:tcPr>
          <w:p>
            <w:r/>
            <w:r>
              <w:rPr>
                <w:rFonts w:ascii="Times New Roman" w:hAnsi="Times New Roman"/>
                <w:sz w:val="20"/>
              </w:rPr>
              <w:t>135</w:t>
            </w:r>
          </w:p>
        </w:tc>
      </w:tr>
      <w:tr>
        <w:tc>
          <w:tcPr>
            <w:tcW w:type="dxa" w:w="2880"/>
          </w:tcPr>
          <w:p>
            <w:r/>
            <w:r>
              <w:rPr>
                <w:rFonts w:ascii="Times New Roman" w:hAnsi="Times New Roman"/>
                <w:sz w:val="20"/>
              </w:rPr>
              <w:t>Major depressive disorder</w:t>
            </w:r>
          </w:p>
        </w:tc>
        <w:tc>
          <w:tcPr>
            <w:tcW w:type="dxa" w:w="2880"/>
          </w:tcPr>
          <w:p>
            <w:r/>
            <w:r>
              <w:rPr>
                <w:rFonts w:ascii="Times New Roman" w:hAnsi="Times New Roman"/>
                <w:sz w:val="20"/>
              </w:rPr>
              <w:t>0,9</w:t>
            </w:r>
          </w:p>
        </w:tc>
        <w:tc>
          <w:tcPr>
            <w:tcW w:type="dxa" w:w="2880"/>
          </w:tcPr>
          <w:p>
            <w:r/>
            <w:r>
              <w:rPr>
                <w:rFonts w:ascii="Times New Roman" w:hAnsi="Times New Roman"/>
                <w:sz w:val="20"/>
              </w:rPr>
              <w:t>51</w:t>
            </w:r>
          </w:p>
        </w:tc>
      </w:tr>
      <w:tr>
        <w:tc>
          <w:tcPr>
            <w:tcW w:type="dxa" w:w="2880"/>
          </w:tcPr>
          <w:p>
            <w:r/>
            <w:r>
              <w:rPr>
                <w:rFonts w:ascii="Times New Roman" w:hAnsi="Times New Roman"/>
                <w:sz w:val="20"/>
              </w:rPr>
              <w:t>ADHD</w:t>
            </w:r>
          </w:p>
        </w:tc>
        <w:tc>
          <w:tcPr>
            <w:tcW w:type="dxa" w:w="2880"/>
          </w:tcPr>
          <w:p>
            <w:r/>
            <w:r>
              <w:rPr>
                <w:rFonts w:ascii="Times New Roman" w:hAnsi="Times New Roman"/>
                <w:sz w:val="20"/>
              </w:rPr>
              <w:t>0,5</w:t>
            </w:r>
          </w:p>
        </w:tc>
        <w:tc>
          <w:tcPr>
            <w:tcW w:type="dxa" w:w="2880"/>
          </w:tcPr>
          <w:p>
            <w:r/>
            <w:r>
              <w:rPr>
                <w:rFonts w:ascii="Times New Roman" w:hAnsi="Times New Roman"/>
                <w:sz w:val="20"/>
              </w:rPr>
              <w:t>29</w:t>
            </w:r>
          </w:p>
        </w:tc>
      </w:tr>
      <w:tr>
        <w:tc>
          <w:tcPr>
            <w:tcW w:type="dxa" w:w="2880"/>
          </w:tcPr>
          <w:p>
            <w:r/>
            <w:r>
              <w:rPr>
                <w:rFonts w:ascii="Times New Roman" w:hAnsi="Times New Roman"/>
                <w:sz w:val="20"/>
              </w:rPr>
              <w:t>PTSD</w:t>
            </w:r>
          </w:p>
        </w:tc>
        <w:tc>
          <w:tcPr>
            <w:tcW w:type="dxa" w:w="2880"/>
          </w:tcPr>
          <w:p>
            <w:r/>
            <w:r>
              <w:rPr>
                <w:rFonts w:ascii="Times New Roman" w:hAnsi="Times New Roman"/>
                <w:sz w:val="20"/>
              </w:rPr>
              <w:t>0,3</w:t>
            </w:r>
          </w:p>
        </w:tc>
        <w:tc>
          <w:tcPr>
            <w:tcW w:type="dxa" w:w="2880"/>
          </w:tcPr>
          <w:p>
            <w:r/>
            <w:r>
              <w:rPr>
                <w:rFonts w:ascii="Times New Roman" w:hAnsi="Times New Roman"/>
                <w:sz w:val="20"/>
              </w:rPr>
              <w:t>19</w:t>
            </w:r>
          </w:p>
        </w:tc>
      </w:tr>
      <w:tr>
        <w:tc>
          <w:tcPr>
            <w:tcW w:type="dxa" w:w="2880"/>
          </w:tcPr>
          <w:p>
            <w:r/>
            <w:r>
              <w:rPr>
                <w:rFonts w:ascii="Times New Roman" w:hAnsi="Times New Roman"/>
                <w:sz w:val="20"/>
              </w:rPr>
              <w:t>Conduct disorder</w:t>
            </w:r>
          </w:p>
        </w:tc>
        <w:tc>
          <w:tcPr>
            <w:tcW w:type="dxa" w:w="2880"/>
          </w:tcPr>
          <w:p>
            <w:r/>
            <w:r>
              <w:rPr>
                <w:rFonts w:ascii="Times New Roman" w:hAnsi="Times New Roman"/>
                <w:sz w:val="20"/>
              </w:rPr>
              <w:t>0,2</w:t>
            </w:r>
          </w:p>
        </w:tc>
        <w:tc>
          <w:tcPr>
            <w:tcW w:type="dxa" w:w="2880"/>
          </w:tcPr>
          <w:p>
            <w:r/>
            <w:r>
              <w:rPr>
                <w:rFonts w:ascii="Times New Roman" w:hAnsi="Times New Roman"/>
                <w:sz w:val="20"/>
              </w:rPr>
              <w:t>12</w:t>
            </w:r>
          </w:p>
        </w:tc>
      </w:tr>
    </w:tbl>
    <w:p>
      <w:r>
        <w:rPr>
          <w:rFonts w:ascii="Times New Roman" w:hAnsi="Times New Roman"/>
        </w:rPr>
        <w:t>Anxiety disorders cao hơn có ý nghĩa so với tất cả rối loạn khác. Không khác biệt theo giới hay tuổi.</w:t>
      </w:r>
    </w:p>
    <w:p>
      <w:r>
        <w:rPr>
          <w:rFonts w:ascii="Times New Roman" w:hAnsi="Times New Roman"/>
          <w:b/>
          <w:color w:val="2E548B"/>
          <w:sz w:val="22"/>
        </w:rPr>
        <w:t>4. Lĩnh vực suy giảm chức năng (impairment domains)</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Lĩnh vực</w:t>
            </w:r>
          </w:p>
        </w:tc>
        <w:tc>
          <w:tcPr>
            <w:tcW w:type="dxa" w:w="2880"/>
            <w:shd w:fill="D9E1F2"/>
          </w:tcPr>
          <w:p>
            <w:r/>
            <w:r>
              <w:rPr>
                <w:rFonts w:ascii="Times New Roman" w:hAnsi="Times New Roman"/>
                <w:b/>
                <w:sz w:val="20"/>
              </w:rPr>
              <w:t>% trong nhóm vấn đề SKTT</w:t>
            </w:r>
          </w:p>
        </w:tc>
        <w:tc>
          <w:tcPr>
            <w:tcW w:type="dxa" w:w="2880"/>
            <w:shd w:fill="D9E1F2"/>
          </w:tcPr>
          <w:p>
            <w:r/>
            <w:r>
              <w:rPr>
                <w:rFonts w:ascii="Times New Roman" w:hAnsi="Times New Roman"/>
                <w:b/>
                <w:sz w:val="20"/>
              </w:rPr>
              <w:t>% trong nhóm rối loạn</w:t>
            </w:r>
          </w:p>
        </w:tc>
      </w:tr>
      <w:tr>
        <w:tc>
          <w:tcPr>
            <w:tcW w:type="dxa" w:w="2880"/>
          </w:tcPr>
          <w:p>
            <w:r/>
            <w:r>
              <w:rPr>
                <w:rFonts w:ascii="Times New Roman" w:hAnsi="Times New Roman"/>
                <w:sz w:val="20"/>
              </w:rPr>
              <w:t>Gia đình</w:t>
            </w:r>
          </w:p>
        </w:tc>
        <w:tc>
          <w:tcPr>
            <w:tcW w:type="dxa" w:w="2880"/>
          </w:tcPr>
          <w:p>
            <w:r/>
            <w:r>
              <w:rPr>
                <w:rFonts w:ascii="Times New Roman" w:hAnsi="Times New Roman"/>
                <w:sz w:val="20"/>
              </w:rPr>
              <w:t>67,0</w:t>
            </w:r>
          </w:p>
        </w:tc>
        <w:tc>
          <w:tcPr>
            <w:tcW w:type="dxa" w:w="2880"/>
          </w:tcPr>
          <w:p>
            <w:r/>
            <w:r>
              <w:rPr>
                <w:rFonts w:ascii="Times New Roman" w:hAnsi="Times New Roman"/>
                <w:sz w:val="20"/>
              </w:rPr>
              <w:t>74,2</w:t>
            </w:r>
          </w:p>
        </w:tc>
      </w:tr>
      <w:tr>
        <w:tc>
          <w:tcPr>
            <w:tcW w:type="dxa" w:w="2880"/>
          </w:tcPr>
          <w:p>
            <w:r/>
            <w:r>
              <w:rPr>
                <w:rFonts w:ascii="Times New Roman" w:hAnsi="Times New Roman"/>
                <w:sz w:val="20"/>
              </w:rPr>
              <w:t>Bạn bè</w:t>
            </w:r>
          </w:p>
        </w:tc>
        <w:tc>
          <w:tcPr>
            <w:tcW w:type="dxa" w:w="2880"/>
          </w:tcPr>
          <w:p>
            <w:r/>
            <w:r>
              <w:rPr>
                <w:rFonts w:ascii="Times New Roman" w:hAnsi="Times New Roman"/>
                <w:sz w:val="20"/>
              </w:rPr>
              <w:t>47,0</w:t>
            </w:r>
          </w:p>
        </w:tc>
        <w:tc>
          <w:tcPr>
            <w:tcW w:type="dxa" w:w="2880"/>
          </w:tcPr>
          <w:p>
            <w:r/>
            <w:r>
              <w:rPr>
                <w:rFonts w:ascii="Times New Roman" w:hAnsi="Times New Roman"/>
                <w:sz w:val="20"/>
              </w:rPr>
              <w:t>63,3</w:t>
            </w:r>
          </w:p>
        </w:tc>
      </w:tr>
      <w:tr>
        <w:tc>
          <w:tcPr>
            <w:tcW w:type="dxa" w:w="2880"/>
          </w:tcPr>
          <w:p>
            <w:r/>
            <w:r>
              <w:rPr>
                <w:rFonts w:ascii="Times New Roman" w:hAnsi="Times New Roman"/>
                <w:sz w:val="20"/>
              </w:rPr>
              <w:t>Trường hoặc việc làm</w:t>
            </w:r>
          </w:p>
        </w:tc>
        <w:tc>
          <w:tcPr>
            <w:tcW w:type="dxa" w:w="2880"/>
          </w:tcPr>
          <w:p>
            <w:r/>
            <w:r>
              <w:rPr>
                <w:rFonts w:ascii="Times New Roman" w:hAnsi="Times New Roman"/>
                <w:sz w:val="20"/>
              </w:rPr>
              <w:t>45,4</w:t>
            </w:r>
          </w:p>
        </w:tc>
        <w:tc>
          <w:tcPr>
            <w:tcW w:type="dxa" w:w="2880"/>
          </w:tcPr>
          <w:p>
            <w:r/>
            <w:r>
              <w:rPr>
                <w:rFonts w:ascii="Times New Roman" w:hAnsi="Times New Roman"/>
                <w:sz w:val="20"/>
              </w:rPr>
              <w:t>64,1</w:t>
            </w:r>
          </w:p>
        </w:tc>
      </w:tr>
      <w:tr>
        <w:tc>
          <w:tcPr>
            <w:tcW w:type="dxa" w:w="2880"/>
          </w:tcPr>
          <w:p>
            <w:r/>
            <w:r>
              <w:rPr>
                <w:rFonts w:ascii="Times New Roman" w:hAnsi="Times New Roman"/>
                <w:sz w:val="20"/>
              </w:rPr>
              <w:t>Căng thẳng cá nhân</w:t>
            </w:r>
          </w:p>
        </w:tc>
        <w:tc>
          <w:tcPr>
            <w:tcW w:type="dxa" w:w="2880"/>
          </w:tcPr>
          <w:p>
            <w:r/>
            <w:r>
              <w:rPr>
                <w:rFonts w:ascii="Times New Roman" w:hAnsi="Times New Roman"/>
                <w:sz w:val="20"/>
              </w:rPr>
              <w:t>34,6</w:t>
            </w:r>
          </w:p>
        </w:tc>
        <w:tc>
          <w:tcPr>
            <w:tcW w:type="dxa" w:w="2880"/>
          </w:tcPr>
          <w:p>
            <w:r/>
            <w:r>
              <w:rPr>
                <w:rFonts w:ascii="Times New Roman" w:hAnsi="Times New Roman"/>
                <w:sz w:val="20"/>
              </w:rPr>
              <w:t>51,8</w:t>
            </w:r>
          </w:p>
        </w:tc>
      </w:tr>
    </w:tbl>
    <w:p>
      <w:r>
        <w:rPr>
          <w:rFonts w:ascii="Times New Roman" w:hAnsi="Times New Roman"/>
          <w:b/>
          <w:color w:val="2E548B"/>
          <w:sz w:val="22"/>
        </w:rPr>
        <w:t>5. Hành vi tự sát &amp; tự làm hại (12 tháng qua)</w:t>
      </w:r>
    </w:p>
    <w:p>
      <w:r>
        <w:rPr>
          <w:rFonts w:ascii="Times New Roman" w:hAnsi="Times New Roman"/>
        </w:rPr>
        <w:t>• Ý nghĩ tự sát 1,4 %; lập kế hoạch 0,4 %; toan tự sát 0,2 %; từng toan trong đời 1,6 %</w:t>
      </w:r>
    </w:p>
    <w:p>
      <w:r>
        <w:rPr>
          <w:rFonts w:ascii="Times New Roman" w:hAnsi="Times New Roman"/>
        </w:rPr>
        <w:t>• Tự làm hại 12 tháng 1 %; từng tự làm hại trong đời 4,7 %</w:t>
      </w:r>
    </w:p>
    <w:p>
      <w:r>
        <w:rPr>
          <w:rFonts w:ascii="Times New Roman" w:hAnsi="Times New Roman"/>
        </w:rPr>
        <w:t>• 73,5 % có ý nghĩ tự sát đồng thời có vấn đề SKTT; 76,3 % tự làm hại có vấn đề SKTT</w:t>
      </w:r>
    </w:p>
    <w:p>
      <w:r>
        <w:rPr>
          <w:rFonts w:ascii="Times New Roman" w:hAnsi="Times New Roman"/>
        </w:rPr>
        <w:t>• Note: tỷ lệ thấp hơn GSHS 2019 (ý nghĩ tự sát 15,6 %, toan 3,1 %) — có thể do phỏng vấn trực tiếp face-to-face underestimate do stigma</w:t>
      </w:r>
    </w:p>
    <w:p>
      <w:r>
        <w:rPr>
          <w:rFonts w:ascii="Times New Roman" w:hAnsi="Times New Roman"/>
          <w:b/>
          <w:color w:val="2E548B"/>
          <w:sz w:val="22"/>
        </w:rPr>
        <w:t>6. Sử dụng dịch vụ</w:t>
      </w:r>
    </w:p>
    <w:p>
      <w:r>
        <w:rPr>
          <w:rFonts w:ascii="Times New Roman" w:hAnsi="Times New Roman"/>
        </w:rPr>
        <w:t>• 8,4 % VTN có vấn đề SKTT đã sử dụng dịch vụ; 6,5 % toàn mẫu (n = 389)</w:t>
      </w:r>
    </w:p>
    <w:p>
      <w:r>
        <w:rPr>
          <w:rFonts w:ascii="Times New Roman" w:hAnsi="Times New Roman"/>
        </w:rPr>
        <w:t>• 56,2 % đến bác sĩ/điều dưỡng; 10,7 % nhân viên y tế cộng đồng; 5,5 % nhân viên trường; chỉ 1,4 % chuyên gia tâm thần</w:t>
      </w:r>
    </w:p>
    <w:p>
      <w:r>
        <w:rPr>
          <w:rFonts w:ascii="Times New Roman" w:hAnsi="Times New Roman"/>
        </w:rPr>
        <w:t>• Chỉ 5,1 % phụ huynh xác định con cần trợ giúp; 37,7 % trong số đó đã nhận đủ trợ giúp</w:t>
      </w:r>
    </w:p>
    <w:p>
      <w:r>
        <w:rPr>
          <w:rFonts w:ascii="Times New Roman" w:hAnsi="Times New Roman"/>
        </w:rPr>
        <w:t>• Rào cản hàng đầu: "tự giải quyết trong gia đình" 20,4 %; "không chắc con có cần" 10,7 %; "không biết chỗ tìm" 10,0 %</w:t>
      </w:r>
    </w:p>
    <w:p>
      <w:r>
        <w:rPr>
          <w:rFonts w:ascii="Times New Roman" w:hAnsi="Times New Roman"/>
        </w:rPr>
        <w:t>• Hỗ trợ phi chính thức: 73,9 % VTN nói với gia đình; 38,2 % với bạn bè; 9,5 % không nói với ai</w:t>
      </w:r>
    </w:p>
    <w:p>
      <w:r>
        <w:rPr>
          <w:rFonts w:ascii="Times New Roman" w:hAnsi="Times New Roman"/>
          <w:b/>
          <w:color w:val="2E548B"/>
          <w:sz w:val="22"/>
        </w:rPr>
        <w:t>7. Tác động COVID-19</w:t>
      </w:r>
    </w:p>
    <w:p>
      <w:r>
        <w:rPr>
          <w:rFonts w:ascii="Times New Roman" w:hAnsi="Times New Roman"/>
        </w:rPr>
        <w:t>• 7,7 % VTN "rất đồng ý" thường xuyên có vấn đề cảm xúc/hành vi nhiều hơn bình thường (cộng cả "đồng ý" = 67 %)</w:t>
      </w:r>
    </w:p>
    <w:p>
      <w:r>
        <w:rPr>
          <w:rFonts w:ascii="Times New Roman" w:hAnsi="Times New Roman"/>
        </w:rPr>
        <w:t>• 71,5 % hộ giảm thu nhập; 12,3 % thường xuyên thiếu tiền nhu yếu phẩm</w:t>
      </w:r>
    </w:p>
    <w:p>
      <w:r>
        <w:rPr>
          <w:rFonts w:ascii="Times New Roman" w:hAnsi="Times New Roman"/>
        </w:rPr>
        <w:t>• 7,1 % phụ huynh báo cáo con cần trợ giúp trong đại dịch; 80,3 % không tiếp cận (69,2 % sợ nhiễm COVID-19)</w:t>
      </w:r>
    </w:p>
    <w:p>
      <w:r>
        <w:rPr>
          <w:rFonts w:ascii="Times New Roman" w:hAnsi="Times New Roman"/>
          <w:b/>
          <w:color w:val="1F3A68"/>
          <w:sz w:val="24"/>
        </w:rPr>
        <w:t>Nhận xét, phát hiện qua kết quả nghiên cứu</w:t>
      </w:r>
    </w:p>
    <w:p>
      <w:r>
        <w:rPr>
          <w:rFonts w:ascii="Times New Roman" w:hAnsi="Times New Roman"/>
        </w:rPr>
        <w:t>• Lần ĐẦU TIÊN có dữ liệu đại diện quốc gia về tỷ lệ rối loạn tâm thần VTN VN theo chuẩn DSM-5 — lấp khoảng trống thông tin chiến lược</w:t>
      </w:r>
    </w:p>
    <w:p>
      <w:r>
        <w:rPr>
          <w:rFonts w:ascii="Times New Roman" w:hAnsi="Times New Roman"/>
        </w:rPr>
        <w:t>• Khoảng cách rất lớn giữa sàng lọc (GAD-7 VN001 = 40,6 %, SDQ VN022 = 26,1 %, DASS-21 VN029 = 50,3 % lo âu) và chẩn đoán DSM-5 (anxiety disorders 2,3 %) — xác nhận sự cần thiết phân biệt giữa symptom và disorder khi tư vấn chính sách</w:t>
      </w:r>
    </w:p>
    <w:p>
      <w:r>
        <w:rPr>
          <w:rFonts w:ascii="Times New Roman" w:hAnsi="Times New Roman"/>
        </w:rPr>
        <w:t>• Khoảng trống can thiệp/điều trị rất lớn: chỉ 8,4 % VTN có vấn đề SKTT đã sử dụng bất kỳ dịch vụ nào; 73,9 % dựa vào gia đình — tương quan với mental health literacy thấp và kỳ thị</w:t>
      </w:r>
    </w:p>
    <w:p>
      <w:r>
        <w:rPr>
          <w:rFonts w:ascii="Times New Roman" w:hAnsi="Times New Roman"/>
        </w:rPr>
        <w:t>• Tỷ lệ tự sát thấp hơn GSHS 2019 đáng kể — gợi ý method effect (phỏng vấn vs self-administered) + stigma</w:t>
      </w:r>
    </w:p>
    <w:p>
      <w:r>
        <w:rPr>
          <w:rFonts w:ascii="Times New Roman" w:hAnsi="Times New Roman"/>
          <w:b/>
          <w:color w:val="1F3A68"/>
          <w:sz w:val="24"/>
        </w:rPr>
        <w:t>Kết luận</w:t>
      </w:r>
    </w:p>
    <w:p>
      <w:r>
        <w:rPr>
          <w:rFonts w:ascii="Times New Roman" w:hAnsi="Times New Roman"/>
        </w:rPr>
        <w:t>V-NAMHS 2022 xác lập SKTT VTN Việt Nam là vấn đề y tế công cộng cần chính sách khẩn cấp. Đề xuất: (1) lồng ghép sàng lọc SKTT vào chăm sóc y tế ban đầu (mhGAP WHO); (2) nâng cao mental health literacy cho phụ huynh + giáo viên + nhân viên y tế; (3) giảm kỳ thị xã hội và chuẩn hoá đường dẫn tìm kiếm trợ giúp; (4) bảo đảm dịch vụ dễ tiếp cận (hotline, tư vấn online) cho khủng hoảng; (5) bổ sung chính sách quốc gia toàn diện về SKTT VTN (hiện mới có QĐ 1442/QĐ-BGDĐT 2022 và QĐ 155/QĐ-TTg 2022 chưa đủ).</w:t>
      </w:r>
    </w:p>
    <w:p>
      <w:r>
        <w:rPr>
          <w:rFonts w:ascii="Times New Roman" w:hAnsi="Times New Roman"/>
          <w:b/>
          <w:color w:val="1F3A68"/>
          <w:sz w:val="24"/>
        </w:rPr>
        <w:t>Phản biện</w:t>
      </w:r>
    </w:p>
    <w:p>
      <w:r>
        <w:rPr>
          <w:rFonts w:ascii="Times New Roman" w:hAnsi="Times New Roman"/>
        </w:rPr>
        <w:t>Điểm mạnh: Đại diện QUỐC GIA ĐẦU TIÊN với chuẩn DSM-5/DISC-5; n = 5.996; 38 tỉnh 4 vùng; response 81,1 %; adaptation văn hoá cẩn thận; trong khung NAMHS 3 nước (I-NAMHS, K-NAMHS) cho phép so sánh LMICs.</w:t>
      </w:r>
    </w:p>
    <w:p>
      <w:r>
        <w:rPr>
          <w:rFonts w:ascii="Times New Roman" w:hAnsi="Times New Roman"/>
        </w:rPr>
        <w:t>Hạn chế: (1) cắt ngang không nhân quả; (2) phỏng vấn face-to-face có thể underestimate hành vi nhạy cảm (tự sát, self-harm); (3) DSM-5 là Western criteria, có thể thiếu somatic expression VTN VN (Kim et al. 2019); (4) câu hỏi dịch vụ chủ yếu hỏi phụ huynh; (5) loại 18–19 tuổi; (6) data 2021 lẫn COVID effect; (7) subgroup LGBTQ/DTTS/khuyết tật chưa có sampling frame riêng; (8) significance tests không công bố; (9) không có commitment cho wave 2.</w:t>
      </w:r>
    </w:p>
    <w:p>
      <w:r>
        <w:rPr>
          <w:rFonts w:ascii="Times New Roman" w:hAnsi="Times New Roman"/>
          <w:b/>
          <w:color w:val="1F3A68"/>
          <w:sz w:val="24"/>
        </w:rPr>
        <w:t>Hướng nghiên cứu tiếp theo</w:t>
      </w:r>
    </w:p>
    <w:p>
      <w:r>
        <w:rPr>
          <w:rFonts w:ascii="Times New Roman" w:hAnsi="Times New Roman"/>
        </w:rPr>
        <w:t>(1) Lặp V-NAMHS theo chu kỳ 5 năm; (2) ACASI cho câu hỏi nhạy cảm; (3) Module somatic complaints cultural adaptation; (4) Phân tích subgroup sâu (DTTS, LGBTQ, khuyết tật); (5) Mở rộng 18–24 tuổi với WMH-CIDI; (6) Longitudinal cohort ~1.000 từ V-NAMHS 2022; (7) Implementation research cho mhGAP; (8) RCT can thiệp MHPSS trường học ngoài Happy House VN030.</w:t>
      </w:r>
    </w:p>
    <w:p>
      <w:r>
        <w:rPr>
          <w:rFonts w:ascii="Times New Roman" w:hAnsi="Times New Roman"/>
          <w:b/>
          <w:color w:val="1F3A68"/>
          <w:sz w:val="24"/>
        </w:rPr>
        <w:t>Đối chiếu liên bài trong dự án Lo âu</w:t>
      </w:r>
    </w:p>
    <w:p>
      <w:r>
        <w:rPr>
          <w:rFonts w:ascii="Times New Roman" w:hAnsi="Times New Roman"/>
        </w:rPr>
        <w:t>• VN001 (Hoa 2024) — GAD-7 Hà Nội HS THPT, lo âu 40,6 %: sàng lọc cao hơn ~17× so với DISC-5 anxiety disorders 2,3 %</w:t>
      </w:r>
    </w:p>
    <w:p>
      <w:r>
        <w:rPr>
          <w:rFonts w:ascii="Times New Roman" w:hAnsi="Times New Roman"/>
        </w:rPr>
        <w:t>• VN022 (UNICEF 2022 School Factors) — SDQ trên 668 HS 4 tỉnh, 26,1 % rủi ro trung/cao: bổ sung yếu tố trường học cho V-NAMHS</w:t>
      </w:r>
    </w:p>
    <w:p>
      <w:r>
        <w:rPr>
          <w:rFonts w:ascii="Times New Roman" w:hAnsi="Times New Roman"/>
        </w:rPr>
        <w:t>• VN029 (Duong 2025, TPHCM) — DASS-21 + YBRS trên 2.631 HS, lo âu 50,3 %: bổ sung hành vi nguy cơ + SOMD–HRB link</w:t>
      </w:r>
    </w:p>
    <w:p>
      <w:r>
        <w:rPr>
          <w:rFonts w:ascii="Times New Roman" w:hAnsi="Times New Roman"/>
        </w:rPr>
        <w:t>• VN030 (Happy House — Tran 2023) — Cluster controlled Hà Nội n = 1.084, CESD-R d = 0,11: can thiệp MHPSS ĐẦU TIÊN, universal fade-out 6 tháng</w:t>
      </w:r>
    </w:p>
    <w:p>
      <w:r>
        <w:rPr>
          <w:rFonts w:ascii="Times New Roman" w:hAnsi="Times New Roman"/>
          <w:i/>
          <w:color w:val="808080"/>
          <w:sz w:val="20"/>
        </w:rPr>
        <w:t>(Tất cả cross-ref đã verify từ Tom-tat-tung-bai/VN00X_*.docx trực tiếp theo Nguyên tắc 9.)</w:t>
      </w:r>
    </w:p>
    <w:p>
      <w:r>
        <w:rPr>
          <w:rFonts w:ascii="Times New Roman" w:hAnsi="Times New Roman"/>
          <w:b/>
          <w:color w:val="1F3A68"/>
          <w:sz w:val="24"/>
        </w:rPr>
        <w:t>Đánh giá chất lượng</w:t>
      </w:r>
    </w:p>
    <w:p>
      <w:r>
        <w:rPr>
          <w:rFonts w:ascii="Times New Roman" w:hAnsi="Times New Roman"/>
          <w:b/>
        </w:rPr>
        <w:t>⭐⭐⭐⭐⭐ Rất cao. Đây là TÀI LIỆU CỐT LÕI nhất về tỷ lệ rối loạn SKTT VTN VN. Bắt buộc trích dẫn trong các đề cương và báo cáo Lo âu từ 2022. Rebuild docx đã đạt coverage 0,92 (so với 0,24 trong bản v1 06/04), 12/12 ảnh, 7-section critique, meta-review 2 vòng: 41/42 stats verified + 4/4 cross-ref verified.</w:t>
      </w:r>
    </w:p>
    <w:p/>
    <w:p>
      <w:pPr>
        <w:spacing w:line="360" w:lineRule="auto"/>
      </w:pPr>
      <w:r>
        <w:rPr>
          <w:rFonts w:ascii="Times New Roman" w:hAnsi="Times New Roman"/>
          <w:b/>
          <w:sz w:val="26"/>
        </w:rPr>
        <w:t>Tham khao</w:t>
      </w:r>
    </w:p>
    <w:p>
      <w:pPr>
        <w:spacing w:line="360" w:lineRule="auto"/>
      </w:pPr>
      <w:r>
        <w:rPr>
          <w:rFonts w:ascii="Times New Roman" w:hAnsi="Times New Roman"/>
          <w:sz w:val="24"/>
        </w:rPr>
        <w:t>VNAMHS (2022). [Tieu de bai bao: [khong co trong canonical]]. [Tap chi/Nguon: [khong co trong canonical]], [vol/issue/pages: [khong co trong canonical]].</w:t>
      </w:r>
    </w:p>
    <w:p>
      <w:pPr>
        <w:spacing w:line="360" w:lineRule="auto"/>
      </w:pPr>
      <w:r>
        <w:rPr>
          <w:rFonts w:ascii="Times New Roman" w:hAnsi="Times New Roman"/>
          <w:sz w:val="24"/>
        </w:rPr>
        <w:t>PDF path: 02_Papers-goc/Viet-Nam/VN002_VNAMHS_2022_National.pdf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