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VN-14</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Mức độ căng thẳng, lo âu và trầm cảm ở thanh thiếu niên trong và sau đại dịch COVID-19 tại Việt Nam: Nghiên cứu cắt ngang » (Levels of Stress, Anxiety, and Depression in Adolescents during and after the COVID-19 Pandemic in Vietnam: A Cross-sectional Study), do Hoàng Trung Học (Tiến sĩ, Học viện Quản lý Giáo dục Quốc gia) và Nguyễn Thùy Dung (Thạc sĩ, Viện Nghiên cứu, Đào tạo và Ứng dụng Tâm lý) thực hiện (2025), khảo sát trên mẫu 8.473 thanh thiếu niên từ lớp 6 đến lớp 12 tại 6 tỉnh/thành phố đại diện miền Nam (TPHCM, Đồng Nai, Long An) và miền Bắc (Hà Nội, Hải Dương, Vĩnh Phúc), Việt Nam, xuất bản trên American Journal of Psychiatric Rehabilitation, tập 28, số 1, tháng 4/2025, trang 360–367.</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Nói cách khác, công trình này sử dụng phương pháp sàng lọc cắt ngang tại hai thời điểm — không phải nghiên cứu dọc thực sự — để so sánh mức độ rối loạn cảm xúc trước và sau khi COVID-19 kết thúc.</w:t>
      </w:r>
    </w:p>
    <w:p>
      <w:r>
        <w:rPr>
          <w:rFonts w:ascii="Times New Roman" w:hAnsi="Times New Roman"/>
          <w:b w:val="0"/>
          <w:color w:val="0070C0"/>
          <w:sz w:val="24"/>
        </w:rPr>
        <w:t>DASS-21 là phiên bản rút gọn 21 mục của Thang đo Trầm cảm Lo âu Căng thẳng gốc 42 mục (Lovibond &amp; Lovibond, 1995), sàng lọc đồng thời ba tình trạng: trầm cảm, lo âu và căng thẳng. Phiên bản tiếng Việt đã được xác thực với Cronbach alpha &gt; 0,7 cho tất cả thang con (Nunnally &amp; Bernstein, 1994).</w:t>
      </w:r>
    </w:p>
    <w:p>
      <w:r>
        <w:rPr>
          <w:rFonts w:ascii="Times New Roman" w:hAnsi="Times New Roman"/>
          <w:b/>
          <w:color w:val="0070C0"/>
          <w:sz w:val="24"/>
        </w:rPr>
        <w:t>Tổng quan tài liệu của chúng tôi cho thấy trước COVID-19, tỷ lệ lo âu ở thanh thiếu niên Việt Nam dao động 12–15%, nhưng trong đại dịch tăng mạnh lên 37–47% (Nguyen và cộng sự, 2021). Tuy nhiên, dữ liệu so sánh trong vs sau COVID tại Việt Nam còn rất hạn chế. Đây là nghiên cứu có cỡ mẫu lớn nhất (n = 8.473) thực hiện so sánh này tại 6 tỉnh đại diện.</w:t>
      </w:r>
    </w:p>
    <w:p>
      <w:r>
        <w:rPr>
          <w:rFonts w:ascii="Times New Roman" w:hAnsi="Times New Roman"/>
          <w:b w:val="0"/>
          <w:color w:val="0070C0"/>
          <w:sz w:val="24"/>
        </w:rPr>
        <w:t>Dữ liệu nhân khẩu xã hội bao gồm giới tính, khu vực cư trú (nông thôn/thành thị), khối lớp (6–12). Các yếu tố hành vi: thời gian ngủ ban ngày, thời gian sử dụng máy tính và điện thoại, thời gian thể thao, tính chất mối quan hệ với cha mẹ, hình thức học tập (trực tuyến/trực tiếp), mức độ giãn cách xã hội.</w:t>
      </w:r>
    </w:p>
    <w:p>
      <w:r>
        <w:rPr>
          <w:rFonts w:ascii="Times New Roman" w:hAnsi="Times New Roman"/>
          <w:b w:val="0"/>
          <w:color w:val="0070C0"/>
          <w:sz w:val="24"/>
        </w:rPr>
        <w:t>Nghiên cứu cắt ngang tại hai thời điểm: Đợt 1 — tháng 12/2021 (trong COVID, n = 4.052), Đợt 2 — tháng 9/2023 (sau COVID, n = 4.337). Lấy mẫu thuận tiện ngẫu nhiên (convenient random sampling) từ các trường THCS và THPT tại 6 tỉnh. Nông thôn chiếm 62,8% mẫu. Phân tích: SPSS, thống kê mô tả, tương quan Pearson, hồi quy đa biến. Kiểm soát đa cộng tuyến (VIF &lt; 2) và tự tương quan (DW = 0,353 và 0,340).</w:t>
      </w:r>
    </w:p>
    <w:p>
      <w:r>
        <w:rPr>
          <w:rFonts w:ascii="Times New Roman" w:hAnsi="Times New Roman"/>
          <w:b/>
          <w:color w:val="FF0000"/>
          <w:sz w:val="24"/>
        </w:rPr>
        <w:t>Kết quả nghiên cứu định lượng</w:t>
      </w:r>
    </w:p>
    <w:p>
      <w:r>
        <w:rPr>
          <w:rFonts w:ascii="Times New Roman" w:hAnsi="Times New Roman"/>
          <w:b/>
          <w:color w:val="0070C0"/>
          <w:sz w:val="24"/>
        </w:rPr>
        <w:t>Tỷ lệ căng thẳng, lo âu và trầm cảm trong vs sau COVID-19 (N = 8.389):</w:t>
      </w:r>
    </w:p>
    <w:p>
      <w:r>
        <w:rPr>
          <w:b/>
          <w:sz w:val="22"/>
          <w:rFonts w:ascii="Times New Roman" w:hAnsi="Times New Roman"/>
        </w:rPr>
        <w:t>Bảng 1. Tỷ lệ lo âu/stress VTN VN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Tình trạng</w:t>
            </w:r>
          </w:p>
        </w:tc>
        <w:tc>
          <w:tcPr>
            <w:tcW w:type="dxa" w:w="2351"/>
            <w:tcW w:w="1701" w:type="dxa"/>
            <w:shd w:fill="D9E2F3" w:val="clear"/>
          </w:tcPr>
          <w:p>
            <w:pPr>
              <w:jc w:val="center"/>
            </w:pPr>
            <w:r>
              <w:rPr>
                <w:rFonts w:ascii="Times New Roman" w:hAnsi="Times New Roman"/>
                <w:b/>
                <w:sz w:val="20"/>
              </w:rPr>
              <w:t>Trong COVID (%)</w:t>
            </w:r>
          </w:p>
        </w:tc>
        <w:tc>
          <w:tcPr>
            <w:tcW w:type="dxa" w:w="2351"/>
            <w:tcW w:w="1701" w:type="dxa"/>
            <w:shd w:fill="D9E2F3" w:val="clear"/>
          </w:tcPr>
          <w:p>
            <w:pPr>
              <w:jc w:val="center"/>
            </w:pPr>
            <w:r>
              <w:rPr>
                <w:rFonts w:ascii="Times New Roman" w:hAnsi="Times New Roman"/>
                <w:b/>
                <w:sz w:val="20"/>
              </w:rPr>
              <w:t>Sau COVID (%)</w:t>
            </w:r>
          </w:p>
        </w:tc>
        <w:tc>
          <w:tcPr>
            <w:tcW w:type="dxa" w:w="2351"/>
            <w:tcW w:w="1417" w:type="dxa"/>
            <w:shd w:fill="D9E2F3" w:val="clear"/>
          </w:tcPr>
          <w:p>
            <w:pPr>
              <w:jc w:val="center"/>
            </w:pPr>
            <w:r>
              <w:rPr>
                <w:rFonts w:ascii="Times New Roman" w:hAnsi="Times New Roman"/>
                <w:b/>
                <w:sz w:val="20"/>
              </w:rPr>
              <w:t>Thay đổi</w:t>
            </w:r>
          </w:p>
        </w:tc>
      </w:tr>
      <w:tr>
        <w:tc>
          <w:tcPr>
            <w:tcW w:type="dxa" w:w="2351"/>
            <w:tcW w:w="2268" w:type="dxa"/>
          </w:tcPr>
          <w:p>
            <w:r>
              <w:rPr>
                <w:rFonts w:ascii="Times New Roman" w:hAnsi="Times New Roman"/>
                <w:sz w:val="20"/>
              </w:rPr>
              <w:t>Căng thẳng tổng</w:t>
            </w:r>
          </w:p>
        </w:tc>
        <w:tc>
          <w:tcPr>
            <w:tcW w:type="dxa" w:w="2351"/>
            <w:tcW w:w="1701" w:type="dxa"/>
          </w:tcPr>
          <w:p>
            <w:r>
              <w:rPr>
                <w:rFonts w:ascii="Times New Roman" w:hAnsi="Times New Roman"/>
                <w:sz w:val="20"/>
              </w:rPr>
              <w:t>65,5%</w:t>
            </w:r>
          </w:p>
        </w:tc>
        <w:tc>
          <w:tcPr>
            <w:tcW w:type="dxa" w:w="2351"/>
            <w:tcW w:w="1701" w:type="dxa"/>
          </w:tcPr>
          <w:p>
            <w:r>
              <w:rPr>
                <w:rFonts w:ascii="Times New Roman" w:hAnsi="Times New Roman"/>
                <w:sz w:val="20"/>
              </w:rPr>
              <w:t>55,4%</w:t>
            </w:r>
          </w:p>
        </w:tc>
        <w:tc>
          <w:tcPr>
            <w:tcW w:type="dxa" w:w="2351"/>
            <w:tcW w:w="1417" w:type="dxa"/>
          </w:tcPr>
          <w:p>
            <w:r>
              <w:rPr>
                <w:rFonts w:ascii="Times New Roman" w:hAnsi="Times New Roman"/>
                <w:sz w:val="20"/>
              </w:rPr>
              <w:t>∙10,1 điểm</w:t>
            </w:r>
          </w:p>
        </w:tc>
      </w:tr>
      <w:tr>
        <w:tc>
          <w:tcPr>
            <w:tcW w:type="dxa" w:w="2351"/>
            <w:tcW w:w="2268" w:type="dxa"/>
          </w:tcPr>
          <w:p>
            <w:r>
              <w:rPr>
                <w:rFonts w:ascii="Times New Roman" w:hAnsi="Times New Roman"/>
                <w:sz w:val="20"/>
              </w:rPr>
              <w:t xml:space="preserve">  Nặng + Rất nặng</w:t>
            </w:r>
          </w:p>
        </w:tc>
        <w:tc>
          <w:tcPr>
            <w:tcW w:type="dxa" w:w="2351"/>
            <w:tcW w:w="1701" w:type="dxa"/>
          </w:tcPr>
          <w:p>
            <w:r>
              <w:rPr>
                <w:rFonts w:ascii="Times New Roman" w:hAnsi="Times New Roman"/>
                <w:sz w:val="20"/>
              </w:rPr>
              <w:t>33,0%</w:t>
            </w:r>
          </w:p>
        </w:tc>
        <w:tc>
          <w:tcPr>
            <w:tcW w:type="dxa" w:w="2351"/>
            <w:tcW w:w="1701" w:type="dxa"/>
          </w:tcPr>
          <w:p>
            <w:r>
              <w:rPr>
                <w:rFonts w:ascii="Times New Roman" w:hAnsi="Times New Roman"/>
                <w:sz w:val="20"/>
              </w:rPr>
              <w:t>18,6%</w:t>
            </w:r>
          </w:p>
        </w:tc>
        <w:tc>
          <w:tcPr>
            <w:tcW w:type="dxa" w:w="2351"/>
            <w:tcW w:w="1417" w:type="dxa"/>
          </w:tcPr>
          <w:p>
            <w:r>
              <w:rPr>
                <w:rFonts w:ascii="Times New Roman" w:hAnsi="Times New Roman"/>
                <w:sz w:val="20"/>
              </w:rPr>
              <w:t>∙14,4 điểm</w:t>
            </w:r>
          </w:p>
        </w:tc>
      </w:tr>
      <w:tr>
        <w:tc>
          <w:tcPr>
            <w:tcW w:type="dxa" w:w="2351"/>
            <w:tcW w:w="2268" w:type="dxa"/>
          </w:tcPr>
          <w:p>
            <w:r>
              <w:rPr>
                <w:rFonts w:ascii="Times New Roman" w:hAnsi="Times New Roman"/>
                <w:sz w:val="20"/>
              </w:rPr>
              <w:t>Lo âu tổng</w:t>
            </w:r>
          </w:p>
        </w:tc>
        <w:tc>
          <w:tcPr>
            <w:tcW w:type="dxa" w:w="2351"/>
            <w:tcW w:w="1701" w:type="dxa"/>
          </w:tcPr>
          <w:p>
            <w:r>
              <w:rPr>
                <w:rFonts w:ascii="Times New Roman" w:hAnsi="Times New Roman"/>
                <w:sz w:val="20"/>
              </w:rPr>
              <w:t>41,5%</w:t>
            </w:r>
          </w:p>
        </w:tc>
        <w:tc>
          <w:tcPr>
            <w:tcW w:type="dxa" w:w="2351"/>
            <w:tcW w:w="1701" w:type="dxa"/>
          </w:tcPr>
          <w:p>
            <w:r>
              <w:rPr>
                <w:rFonts w:ascii="Times New Roman" w:hAnsi="Times New Roman"/>
                <w:sz w:val="20"/>
              </w:rPr>
              <w:t>25,4%</w:t>
            </w:r>
          </w:p>
        </w:tc>
        <w:tc>
          <w:tcPr>
            <w:tcW w:type="dxa" w:w="2351"/>
            <w:tcW w:w="1417" w:type="dxa"/>
          </w:tcPr>
          <w:p>
            <w:r>
              <w:rPr>
                <w:rFonts w:ascii="Times New Roman" w:hAnsi="Times New Roman"/>
                <w:sz w:val="20"/>
              </w:rPr>
              <w:t>∙16,1 điểm</w:t>
            </w:r>
          </w:p>
        </w:tc>
      </w:tr>
      <w:tr>
        <w:tc>
          <w:tcPr>
            <w:tcW w:type="dxa" w:w="2351"/>
            <w:tcW w:w="2268" w:type="dxa"/>
          </w:tcPr>
          <w:p>
            <w:r>
              <w:rPr>
                <w:rFonts w:ascii="Times New Roman" w:hAnsi="Times New Roman"/>
                <w:sz w:val="20"/>
              </w:rPr>
              <w:t xml:space="preserve">  Nặng + Rất nặng</w:t>
            </w:r>
          </w:p>
        </w:tc>
        <w:tc>
          <w:tcPr>
            <w:tcW w:type="dxa" w:w="2351"/>
            <w:tcW w:w="1701" w:type="dxa"/>
          </w:tcPr>
          <w:p>
            <w:r>
              <w:rPr>
                <w:rFonts w:ascii="Times New Roman" w:hAnsi="Times New Roman"/>
                <w:sz w:val="20"/>
              </w:rPr>
              <w:t>14,5%</w:t>
            </w:r>
          </w:p>
        </w:tc>
        <w:tc>
          <w:tcPr>
            <w:tcW w:type="dxa" w:w="2351"/>
            <w:tcW w:w="1701" w:type="dxa"/>
          </w:tcPr>
          <w:p>
            <w:r>
              <w:rPr>
                <w:rFonts w:ascii="Times New Roman" w:hAnsi="Times New Roman"/>
                <w:sz w:val="20"/>
              </w:rPr>
              <w:t>7,2%</w:t>
            </w:r>
          </w:p>
        </w:tc>
        <w:tc>
          <w:tcPr>
            <w:tcW w:type="dxa" w:w="2351"/>
            <w:tcW w:w="1417" w:type="dxa"/>
          </w:tcPr>
          <w:p>
            <w:r>
              <w:rPr>
                <w:rFonts w:ascii="Times New Roman" w:hAnsi="Times New Roman"/>
                <w:sz w:val="20"/>
              </w:rPr>
              <w:t>∙7,3 điểm</w:t>
            </w:r>
          </w:p>
        </w:tc>
      </w:tr>
      <w:tr>
        <w:tc>
          <w:tcPr>
            <w:tcW w:type="dxa" w:w="2351"/>
            <w:tcW w:w="2268" w:type="dxa"/>
          </w:tcPr>
          <w:p>
            <w:r>
              <w:rPr>
                <w:rFonts w:ascii="Times New Roman" w:hAnsi="Times New Roman"/>
                <w:sz w:val="20"/>
              </w:rPr>
              <w:t>Trầm cảm tổng</w:t>
            </w:r>
          </w:p>
        </w:tc>
        <w:tc>
          <w:tcPr>
            <w:tcW w:type="dxa" w:w="2351"/>
            <w:tcW w:w="1701" w:type="dxa"/>
          </w:tcPr>
          <w:p>
            <w:r>
              <w:rPr>
                <w:rFonts w:ascii="Times New Roman" w:hAnsi="Times New Roman"/>
                <w:sz w:val="20"/>
              </w:rPr>
              <w:t>34,2%</w:t>
            </w:r>
          </w:p>
        </w:tc>
        <w:tc>
          <w:tcPr>
            <w:tcW w:type="dxa" w:w="2351"/>
            <w:tcW w:w="1701" w:type="dxa"/>
          </w:tcPr>
          <w:p>
            <w:r>
              <w:rPr>
                <w:rFonts w:ascii="Times New Roman" w:hAnsi="Times New Roman"/>
                <w:sz w:val="20"/>
              </w:rPr>
              <w:t>20,1%</w:t>
            </w:r>
          </w:p>
        </w:tc>
        <w:tc>
          <w:tcPr>
            <w:tcW w:type="dxa" w:w="2351"/>
            <w:tcW w:w="1417" w:type="dxa"/>
          </w:tcPr>
          <w:p>
            <w:r>
              <w:rPr>
                <w:rFonts w:ascii="Times New Roman" w:hAnsi="Times New Roman"/>
                <w:sz w:val="20"/>
              </w:rPr>
              <w:t>∙14,1 điểm</w:t>
            </w:r>
          </w:p>
        </w:tc>
      </w:tr>
      <w:tr>
        <w:tc>
          <w:tcPr>
            <w:tcW w:type="dxa" w:w="2351"/>
            <w:tcW w:w="2268" w:type="dxa"/>
          </w:tcPr>
          <w:p>
            <w:r>
              <w:rPr>
                <w:rFonts w:ascii="Times New Roman" w:hAnsi="Times New Roman"/>
                <w:sz w:val="20"/>
              </w:rPr>
              <w:t xml:space="preserve">  Nặng + Rất nặng</w:t>
            </w:r>
          </w:p>
        </w:tc>
        <w:tc>
          <w:tcPr>
            <w:tcW w:type="dxa" w:w="2351"/>
            <w:tcW w:w="1701" w:type="dxa"/>
          </w:tcPr>
          <w:p>
            <w:r>
              <w:rPr>
                <w:rFonts w:ascii="Times New Roman" w:hAnsi="Times New Roman"/>
                <w:sz w:val="20"/>
              </w:rPr>
              <w:t>8,1%</w:t>
            </w:r>
          </w:p>
        </w:tc>
        <w:tc>
          <w:tcPr>
            <w:tcW w:type="dxa" w:w="2351"/>
            <w:tcW w:w="1701" w:type="dxa"/>
          </w:tcPr>
          <w:p>
            <w:r>
              <w:rPr>
                <w:rFonts w:ascii="Times New Roman" w:hAnsi="Times New Roman"/>
                <w:sz w:val="20"/>
              </w:rPr>
              <w:t>4,0%</w:t>
            </w:r>
          </w:p>
        </w:tc>
        <w:tc>
          <w:tcPr>
            <w:tcW w:type="dxa" w:w="2351"/>
            <w:tcW w:w="1417" w:type="dxa"/>
          </w:tcPr>
          <w:p>
            <w:r>
              <w:rPr>
                <w:rFonts w:ascii="Times New Roman" w:hAnsi="Times New Roman"/>
                <w:sz w:val="20"/>
              </w:rPr>
              <w:t>∙4,1 điểm</w:t>
            </w:r>
          </w:p>
        </w:tc>
      </w:tr>
      <w:tr>
        <w:tc>
          <w:tcPr>
            <w:tcW w:type="dxa" w:w="2351"/>
            <w:tcW w:w="2268" w:type="dxa"/>
          </w:tcPr>
          <w:p>
            <w:r>
              <w:rPr>
                <w:rFonts w:ascii="Times New Roman" w:hAnsi="Times New Roman"/>
                <w:sz w:val="20"/>
              </w:rPr>
              <w:t>Điểm DASS-21 TB</w:t>
            </w:r>
          </w:p>
        </w:tc>
        <w:tc>
          <w:tcPr>
            <w:tcW w:type="dxa" w:w="2351"/>
            <w:tcW w:w="1701" w:type="dxa"/>
          </w:tcPr>
          <w:p>
            <w:r>
              <w:rPr>
                <w:rFonts w:ascii="Times New Roman" w:hAnsi="Times New Roman"/>
                <w:sz w:val="20"/>
              </w:rPr>
              <w:t>26,68</w:t>
            </w:r>
          </w:p>
        </w:tc>
        <w:tc>
          <w:tcPr>
            <w:tcW w:type="dxa" w:w="2351"/>
            <w:tcW w:w="1701" w:type="dxa"/>
          </w:tcPr>
          <w:p>
            <w:r>
              <w:rPr>
                <w:rFonts w:ascii="Times New Roman" w:hAnsi="Times New Roman"/>
                <w:sz w:val="20"/>
              </w:rPr>
              <w:t>22,07</w:t>
            </w:r>
          </w:p>
        </w:tc>
        <w:tc>
          <w:tcPr>
            <w:tcW w:type="dxa" w:w="2351"/>
            <w:tcW w:w="1417" w:type="dxa"/>
          </w:tcPr>
          <w:p>
            <w:r>
              <w:rPr>
                <w:rFonts w:ascii="Times New Roman" w:hAnsi="Times New Roman"/>
                <w:sz w:val="20"/>
              </w:rPr>
              <w:t>∙4,61 (p&lt;0,01)</w:t>
            </w:r>
          </w:p>
        </w:tc>
      </w:tr>
    </w:tbl>
    <w:p/>
    <w:p>
      <w:r>
        <w:rPr>
          <w:rFonts w:ascii="Times New Roman" w:hAnsi="Times New Roman"/>
          <w:b/>
          <w:color w:val="0070C0"/>
          <w:sz w:val="24"/>
        </w:rPr>
        <w:t>Yếu tố ảnh hưởng — hồi quy đa biến (trong COVID, R² = 0,190):</w:t>
      </w:r>
    </w:p>
    <w:p>
      <w:r>
        <w:rPr>
          <w:b/>
          <w:sz w:val="22"/>
          <w:rFonts w:ascii="Times New Roman" w:hAnsi="Times New Roman"/>
        </w:rPr>
        <w:t>Bảng 2. Yếu tố ảnh hưởng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850" w:type="dxa"/>
            <w:shd w:fill="D9E2F3" w:val="clear"/>
          </w:tcPr>
          <w:p>
            <w:pPr>
              <w:jc w:val="center"/>
            </w:pPr>
            <w:r>
              <w:rPr>
                <w:rFonts w:ascii="Times New Roman" w:hAnsi="Times New Roman"/>
                <w:b/>
                <w:sz w:val="20"/>
              </w:rPr>
              <w:t>Beta</w:t>
            </w:r>
          </w:p>
        </w:tc>
        <w:tc>
          <w:tcPr>
            <w:tcW w:type="dxa" w:w="2351"/>
            <w:tcW w:w="850" w:type="dxa"/>
            <w:shd w:fill="D9E2F3" w:val="clear"/>
          </w:tcPr>
          <w:p>
            <w:pPr>
              <w:jc w:val="center"/>
            </w:pPr>
            <w:r>
              <w:rPr>
                <w:rFonts w:ascii="Times New Roman" w:hAnsi="Times New Roman"/>
                <w:b/>
                <w:sz w:val="20"/>
              </w:rPr>
              <w:t>Sig.</w:t>
            </w:r>
          </w:p>
        </w:tc>
        <w:tc>
          <w:tcPr>
            <w:tcW w:type="dxa" w:w="2351"/>
            <w:tcW w:w="3118" w:type="dxa"/>
            <w:shd w:fill="D9E2F3" w:val="clear"/>
          </w:tcPr>
          <w:p>
            <w:pPr>
              <w:jc w:val="center"/>
            </w:pPr>
            <w:r>
              <w:rPr>
                <w:rFonts w:ascii="Times New Roman" w:hAnsi="Times New Roman"/>
                <w:b/>
                <w:sz w:val="20"/>
              </w:rPr>
              <w:t>Ý nghĩa</w:t>
            </w:r>
          </w:p>
        </w:tc>
      </w:tr>
      <w:tr>
        <w:tc>
          <w:tcPr>
            <w:tcW w:type="dxa" w:w="2351"/>
            <w:tcW w:w="2268" w:type="dxa"/>
          </w:tcPr>
          <w:p>
            <w:r>
              <w:rPr>
                <w:rFonts w:ascii="Times New Roman" w:hAnsi="Times New Roman"/>
                <w:sz w:val="20"/>
              </w:rPr>
              <w:t>Quan hệ cha mẹ-con</w:t>
            </w:r>
          </w:p>
        </w:tc>
        <w:tc>
          <w:tcPr>
            <w:tcW w:type="dxa" w:w="2351"/>
            <w:tcW w:w="850" w:type="dxa"/>
          </w:tcPr>
          <w:p>
            <w:r>
              <w:rPr>
                <w:rFonts w:ascii="Times New Roman" w:hAnsi="Times New Roman"/>
                <w:sz w:val="20"/>
              </w:rPr>
              <w:t>0,272</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MẠNH NHẤT — gia đình bất hòa tăng DAS</w:t>
            </w:r>
          </w:p>
        </w:tc>
      </w:tr>
      <w:tr>
        <w:tc>
          <w:tcPr>
            <w:tcW w:type="dxa" w:w="2351"/>
            <w:tcW w:w="2268" w:type="dxa"/>
          </w:tcPr>
          <w:p>
            <w:r>
              <w:rPr>
                <w:rFonts w:ascii="Times New Roman" w:hAnsi="Times New Roman"/>
                <w:sz w:val="20"/>
              </w:rPr>
              <w:t>Thời gian dùng điện tử</w:t>
            </w:r>
          </w:p>
        </w:tc>
        <w:tc>
          <w:tcPr>
            <w:tcW w:type="dxa" w:w="2351"/>
            <w:tcW w:w="850" w:type="dxa"/>
          </w:tcPr>
          <w:p>
            <w:r>
              <w:rPr>
                <w:rFonts w:ascii="Times New Roman" w:hAnsi="Times New Roman"/>
                <w:sz w:val="20"/>
              </w:rPr>
              <w:t>0,176</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Dùng nhiều → tăng DAS</w:t>
            </w:r>
          </w:p>
        </w:tc>
      </w:tr>
      <w:tr>
        <w:tc>
          <w:tcPr>
            <w:tcW w:type="dxa" w:w="2351"/>
            <w:tcW w:w="2268" w:type="dxa"/>
          </w:tcPr>
          <w:p>
            <w:r>
              <w:rPr>
                <w:rFonts w:ascii="Times New Roman" w:hAnsi="Times New Roman"/>
                <w:sz w:val="20"/>
              </w:rPr>
              <w:t>Giấc ngủ ban ngày</w:t>
            </w:r>
          </w:p>
        </w:tc>
        <w:tc>
          <w:tcPr>
            <w:tcW w:type="dxa" w:w="2351"/>
            <w:tcW w:w="850" w:type="dxa"/>
          </w:tcPr>
          <w:p>
            <w:r>
              <w:rPr>
                <w:rFonts w:ascii="Times New Roman" w:hAnsi="Times New Roman"/>
                <w:sz w:val="20"/>
              </w:rPr>
              <w:t>–0,149</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Ngủ đủ → giảm DAS (bảo vệ)</w:t>
            </w:r>
          </w:p>
        </w:tc>
      </w:tr>
      <w:tr>
        <w:tc>
          <w:tcPr>
            <w:tcW w:type="dxa" w:w="2351"/>
            <w:tcW w:w="2268" w:type="dxa"/>
          </w:tcPr>
          <w:p>
            <w:r>
              <w:rPr>
                <w:rFonts w:ascii="Times New Roman" w:hAnsi="Times New Roman"/>
                <w:sz w:val="20"/>
              </w:rPr>
              <w:t>Thời gian thể thao</w:t>
            </w:r>
          </w:p>
        </w:tc>
        <w:tc>
          <w:tcPr>
            <w:tcW w:type="dxa" w:w="2351"/>
            <w:tcW w:w="850" w:type="dxa"/>
          </w:tcPr>
          <w:p>
            <w:r>
              <w:rPr>
                <w:rFonts w:ascii="Times New Roman" w:hAnsi="Times New Roman"/>
                <w:sz w:val="20"/>
              </w:rPr>
              <w:t>–0,087</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Thể thao → giảm DAS (bảo vệ)</w:t>
            </w:r>
          </w:p>
        </w:tc>
      </w:tr>
      <w:tr>
        <w:tc>
          <w:tcPr>
            <w:tcW w:type="dxa" w:w="2351"/>
            <w:tcW w:w="2268" w:type="dxa"/>
          </w:tcPr>
          <w:p>
            <w:r>
              <w:rPr>
                <w:rFonts w:ascii="Times New Roman" w:hAnsi="Times New Roman"/>
                <w:sz w:val="20"/>
              </w:rPr>
              <w:t>Tuổi</w:t>
            </w:r>
          </w:p>
        </w:tc>
        <w:tc>
          <w:tcPr>
            <w:tcW w:type="dxa" w:w="2351"/>
            <w:tcW w:w="850" w:type="dxa"/>
          </w:tcPr>
          <w:p>
            <w:r>
              <w:rPr>
                <w:rFonts w:ascii="Times New Roman" w:hAnsi="Times New Roman"/>
                <w:sz w:val="20"/>
              </w:rPr>
              <w:t>–0,086</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Trẻ hơn → DAS cao hơn</w:t>
            </w:r>
          </w:p>
        </w:tc>
      </w:tr>
      <w:tr>
        <w:tc>
          <w:tcPr>
            <w:tcW w:type="dxa" w:w="2351"/>
            <w:tcW w:w="2268" w:type="dxa"/>
          </w:tcPr>
          <w:p>
            <w:r>
              <w:rPr>
                <w:rFonts w:ascii="Times New Roman" w:hAnsi="Times New Roman"/>
                <w:sz w:val="20"/>
              </w:rPr>
              <w:t>Hình thức học tập</w:t>
            </w:r>
          </w:p>
        </w:tc>
        <w:tc>
          <w:tcPr>
            <w:tcW w:type="dxa" w:w="2351"/>
            <w:tcW w:w="850" w:type="dxa"/>
          </w:tcPr>
          <w:p>
            <w:r>
              <w:rPr>
                <w:rFonts w:ascii="Times New Roman" w:hAnsi="Times New Roman"/>
                <w:sz w:val="20"/>
              </w:rPr>
              <w:t>0,074</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Trực tuyến → tăng DAS</w:t>
            </w:r>
          </w:p>
        </w:tc>
      </w:tr>
      <w:tr>
        <w:tc>
          <w:tcPr>
            <w:tcW w:type="dxa" w:w="2351"/>
            <w:tcW w:w="2268" w:type="dxa"/>
          </w:tcPr>
          <w:p>
            <w:r>
              <w:rPr>
                <w:rFonts w:ascii="Times New Roman" w:hAnsi="Times New Roman"/>
                <w:sz w:val="20"/>
              </w:rPr>
              <w:t>Giãn cách xã hội</w:t>
            </w:r>
          </w:p>
        </w:tc>
        <w:tc>
          <w:tcPr>
            <w:tcW w:type="dxa" w:w="2351"/>
            <w:tcW w:w="850" w:type="dxa"/>
          </w:tcPr>
          <w:p>
            <w:r>
              <w:rPr>
                <w:rFonts w:ascii="Times New Roman" w:hAnsi="Times New Roman"/>
                <w:sz w:val="20"/>
              </w:rPr>
              <w:t>0,073</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Giãn cách nhiều → tăng DAS</w:t>
            </w:r>
          </w:p>
        </w:tc>
      </w:tr>
      <w:tr>
        <w:tc>
          <w:tcPr>
            <w:tcW w:type="dxa" w:w="2351"/>
            <w:tcW w:w="2268" w:type="dxa"/>
          </w:tcPr>
          <w:p>
            <w:r>
              <w:rPr>
                <w:rFonts w:ascii="Times New Roman" w:hAnsi="Times New Roman"/>
                <w:sz w:val="20"/>
              </w:rPr>
              <w:t>Giới tính</w:t>
            </w:r>
          </w:p>
        </w:tc>
        <w:tc>
          <w:tcPr>
            <w:tcW w:type="dxa" w:w="2351"/>
            <w:tcW w:w="850" w:type="dxa"/>
          </w:tcPr>
          <w:p>
            <w:r>
              <w:rPr>
                <w:rFonts w:ascii="Times New Roman" w:hAnsi="Times New Roman"/>
                <w:sz w:val="20"/>
              </w:rPr>
              <w:t>0,053</w:t>
            </w:r>
          </w:p>
        </w:tc>
        <w:tc>
          <w:tcPr>
            <w:tcW w:type="dxa" w:w="2351"/>
            <w:tcW w:w="850" w:type="dxa"/>
          </w:tcPr>
          <w:p>
            <w:r>
              <w:rPr>
                <w:rFonts w:ascii="Times New Roman" w:hAnsi="Times New Roman"/>
                <w:sz w:val="20"/>
              </w:rPr>
              <w:t>0,001</w:t>
            </w:r>
          </w:p>
        </w:tc>
        <w:tc>
          <w:tcPr>
            <w:tcW w:type="dxa" w:w="2351"/>
            <w:tcW w:w="3118" w:type="dxa"/>
          </w:tcPr>
          <w:p>
            <w:r>
              <w:rPr>
                <w:rFonts w:ascii="Times New Roman" w:hAnsi="Times New Roman"/>
                <w:sz w:val="20"/>
              </w:rPr>
              <w:t>Ảnh hưởng nhẹ</w:t>
            </w:r>
          </w:p>
        </w:tc>
      </w:tr>
    </w:tbl>
    <w:p/>
    <w:p>
      <w:pPr>
        <w:pStyle w:val="Heading3"/>
      </w:pPr>
      <w:r>
        <w:rPr>
          <w:rFonts w:ascii="Times New Roman" w:hAnsi="Times New Roman"/>
          <w:color w:val="0070C0"/>
        </w:rPr>
        <w:t>Khác biệt giai đoạn : Y văn quốc tế luôn báo cáo sự gia tăng các vấn đề SKTT ở thanh thiếu niên trong đại dịch COVID-19 (Racine và cộng sự, 2021). Thực tế, Hoàng Trung Học (2025) xác nhận xu hướng này: lo âu trong COVID 41,5% giảm xuống 25,4% sau COVID. Tuy nhiên, tỷ lệ sau COVID (25,4%) vẫn cao hơn trước dịch (12–15% theo Do &amp; Nguyen, 2020) — gợi ý tác động kéo dài của đại dịch.</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vai trò gia đình, công nghệ và giấc ngủ</w:t>
      </w:r>
    </w:p>
    <w:p>
      <w:r>
        <w:rPr>
          <w:rFonts w:ascii="Times New Roman" w:hAnsi="Times New Roman"/>
          <w:b w:val="0"/>
          <w:color w:val="0070C0"/>
          <w:sz w:val="24"/>
        </w:rPr>
        <w:t>*Quan hệ cha mẹ-con — yếu tố mạnh nhất.* Nổi bật nhất là mối quan hệ cha mẹ-con (Beta = 0,272) là yếu tố ảnh hưởng mạnh nhất đến mức độ DAS cả trong và sau COVID. Phát hiện này phù hợp với Pham và cộng sự (2024) tại Huế: chăm sóc cảm xúc giảm lo âu mạnh (beta = –0,40), và Qiu và cộng sự (2022) tại Trung Quốc: nuôi dạy tích cực giảm 70% trầm cảm (OR = 0,30).</w:t>
      </w:r>
    </w:p>
    <w:p>
      <w:r>
        <w:rPr>
          <w:rFonts w:ascii="Times New Roman" w:hAnsi="Times New Roman"/>
          <w:b w:val="0"/>
          <w:color w:val="0070C0"/>
          <w:sz w:val="24"/>
        </w:rPr>
        <w:t>*Sử dụng thiết bị điện tử.*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r>
        <w:rPr>
          <w:rFonts w:ascii="Times New Roman" w:hAnsi="Times New Roman"/>
          <w:b w:val="0"/>
          <w:color w:val="0070C0"/>
          <w:sz w:val="24"/>
        </w:rPr>
        <w:t>*Giấc ngủ và thể thao.* Giấc ngủ đủ (Beta = –0,149) và hoạt động thể thao (Beta = –0,087) là yếu tố bảo vệ, phù hợp với Zhu và cộng sự (2025): ngủ &lt;5h AOR = 13,71 cho trầm cảm, hoạt động ngoài trời 2–3h AOR = 0,557 bảo vệ.</w:t>
      </w:r>
    </w:p>
    <w:p>
      <w:r>
        <w:rPr>
          <w:rFonts w:ascii="Times New Roman" w:hAnsi="Times New Roman"/>
          <w:b/>
          <w:color w:val="FF0000"/>
          <w:sz w:val="24"/>
        </w:rPr>
        <w:t>Kết luận</w:t>
      </w:r>
    </w:p>
    <w:p>
      <w:r>
        <w:rPr>
          <w:rFonts w:ascii="Times New Roman" w:hAnsi="Times New Roman"/>
          <w:b/>
          <w:color w:val="0070C0"/>
          <w:sz w:val="24"/>
        </w:rPr>
        <w:t>Dữ liệu của chúng tôi, cho thấy sự giảm đáng kể nhưng vẫn ở mức cao của triệu chứng lo âu (từ 41,5% xuống 25,4%) ở 8.473 thanh thiếu niên 6 tỉnh Việt Nam sau COVID-19 — cỡ mẫu lớn nhất trong các nghiên cứu SKTT VTN tại Việt Nam, gợi ý rằng thanh thiếu niên có khả năng phục hồi nhất định nhưng tỷ lệ hậu COVID vẫn cao hơn trước dịch. Ba yếu tố có thể can thiệp được — quan hệ gia đình (Beta = 0,272), sử dụng điện tử (Beta = 0,176) và giấc ngủ (Beta = –0,149) — là mục tiêu ưu tiên cho chương trình phòng ngừa. Trong bối cảnh hậu COVID tại Việt Nam, nhu cầu cải thiện quan hệ gia đình, quản lý thời gian sử dụng công nghệ và duy trì giấc ngủ chất lượng là thiết yếu.</w:t>
      </w:r>
    </w:p>
    <w:p>
      <w:pPr>
        <w:pStyle w:val="Heading2"/>
      </w:pPr>
      <w:r>
        <w:rPr>
          <w:rFonts w:ascii="Times New Roman" w:hAnsi="Times New Roman"/>
          <w:color w:val="FF0000"/>
        </w:rPr>
        <w:t>Phản biện</w:t>
      </w:r>
    </w:p>
    <w:p>
      <w:r>
        <w:rPr>
          <w:rFonts w:ascii="Times New Roman" w:hAnsi="Times New Roman"/>
          <w:b w:val="0"/>
          <w:color w:val="0070C0"/>
          <w:sz w:val="24"/>
        </w:rPr>
        <w:t>Cỡ mẫu lớn nhất VN (8.473), 6 tỉnh đại diện Bắc-Nam, hồi quy đa biến kiểm soát VIF và DW. Tuy nhiên, tạp chí AJPR không có impact factor rõ ràng, không lập chỉ mục PubMed/Scopus — giảm độ tin cậy học thuật. Hai đợt khảo sát trên 2 MẪU KHÁC NHAU (4.052 vs 4.337) — không phải nghiên cứu dọc thực sự, không thể theo dõi thay đổi ở cùng cá nhân. DASS-21 là sàng lọc — so với V-NAMHS 2022 (DISC-5: 2,3%), chênh lệch rất lớn. R² = 0,190 — mô hình chỉ giải thích 19% phương sai. "Convenient random sampling" — mâu thuẫn (thuận tiện ≠ ngẫu nhiên). Không phân tích giới tính chi tiết cho tỷ lệ lo âu.</w:t>
      </w:r>
    </w:p>
    <w:p>
      <w:pPr>
        <w:pStyle w:val="Heading2"/>
      </w:pPr>
      <w:r>
        <w:rPr>
          <w:rFonts w:ascii="Times New Roman" w:hAnsi="Times New Roman"/>
          <w:color w:val="FF0000"/>
        </w:rPr>
        <w:t>Hướng nghiên cứu tiếp theo</w:t>
      </w:r>
    </w:p>
    <w:p>
      <w:r>
        <w:rPr>
          <w:rFonts w:ascii="Times New Roman" w:hAnsi="Times New Roman"/>
          <w:b w:val="0"/>
          <w:color w:val="0070C0"/>
          <w:sz w:val="24"/>
        </w:rPr>
        <w:t>Nghiên cứu dọc thực sự theo dõi cùng nhóm HS từ trong COVID đến 2–3 năm sau. So sánh DASS-21 với DISC-5 trên cùng mẫu VTN. Phân tích giới tính chi tiết. Đánh giá hiệu quả can thiệp: đào tạo kỹ năng cha mẹ, quản lý thời gian điện tử tại trường. Xuất bản trên tạp chí có chỉ mục quốc tế.</w:t>
      </w:r>
    </w:p>
    <w:p/>
    <w:p>
      <w:r>
        <w:rPr>
          <w:rFonts w:ascii="Times New Roman" w:hAnsi="Times New Roman"/>
          <w:b/>
          <w:sz w:val="24"/>
        </w:rPr>
        <w:t>Đánh giá chất lượng: ⭐⭐⭐ Trung bình-Khá. Cỡ mẫu lớn nhất VN (8.473), so sánh COVID vs hậu COVID, hồi quy đa biến, nhưng tạp chí yếu và không phải NC dọc thực sự.</w:t>
      </w:r>
    </w:p>
    <w:p/>
    <w:p>
      <w:pPr>
        <w:spacing w:line="360" w:lineRule="auto"/>
      </w:pPr>
      <w:r>
        <w:rPr>
          <w:rFonts w:ascii="Times New Roman" w:hAnsi="Times New Roman"/>
          <w:b/>
          <w:sz w:val="26"/>
        </w:rPr>
        <w:t>Tham khao</w:t>
      </w:r>
    </w:p>
    <w:p>
      <w:pPr>
        <w:spacing w:line="360" w:lineRule="auto"/>
      </w:pPr>
      <w:r>
        <w:rPr>
          <w:rFonts w:ascii="Times New Roman" w:hAnsi="Times New Roman"/>
          <w:sz w:val="24"/>
        </w:rPr>
        <w:t>HoangTrungHoc (2025). [Tieu de bai bao: [khong co trong canonical]]. [Tap chi/Nguon: [khong co trong canonical]], [vol/issue/pages: [khong co trong canonical]].</w:t>
      </w:r>
    </w:p>
    <w:p>
      <w:pPr>
        <w:spacing w:line="360" w:lineRule="auto"/>
      </w:pPr>
      <w:r>
        <w:rPr>
          <w:rFonts w:ascii="Times New Roman" w:hAnsi="Times New Roman"/>
          <w:sz w:val="24"/>
        </w:rPr>
        <w:t>PDF path: 02_Papers-goc/Viet-Nam/VN014_HoangTrungHoc_2025_VN_COVID.pdf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