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VN-15</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Sức khỏe tâm thần ở thanh thiếu niên dân tộc thiểu số tại Việt Nam và các yếu tố liên quan: Nghiên cứu cắt ngang » (Mental Health among Ethnic Minority Adolescents in Vietnam and Correlated Factors: A Cross-sectional Study), do Ngô Anh Vinh, Vũ Thị Mỹ Hạnh, Đỗ Thị Bích Vân, Dương Anh Tài, Đỗ Minh Loan và Lê Thị Thanh Thùy (2024), thuộc Khoa Sức khỏe Vị thành niên, Bệnh viện Nhi Trung ương, Hà Nội, khảo sát trên mẫu 845 học sinh dân tộc thiểu số nội trú tại tỉnh Lạng Sơn, Việt Nam, xuất bản trên Journal of Affective Disorders Reports, tập 17, bài 100795 (Elsevier, Open Access).</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(Cronbach alpha: trầm cảm 0,767; lo âu 0,792; căng thẳng 0,811) kết hợp với Bảng hỏi Trải nghiệm Bất lợi Thời thơ ấu (ACEs — Adverse Childhood Experiences Questionnaire). Nói cách khác, nghiên cứu này kết hợp hai chiều đánh giá — tình trạng sức khỏe tâm thần hiện tại và trải nghiệm bất lợi quá khứ — để hiểu mối quan hệ giữa "vết thương thời thơ ấu" và rối loạn cảm xúc.</w:t>
      </w:r>
    </w:p>
    <w:p>
      <w:r>
        <w:rPr>
          <w:rFonts w:ascii="Times New Roman" w:hAnsi="Times New Roman"/>
          <w:b w:val="0"/>
          <w:color w:val="0070C0"/>
          <w:sz w:val="24"/>
        </w:rPr>
        <w:t>DASS-21 là phiên bản rút gọn 21 mục của thang gốc 42 mục (Lovibond &amp; Lovibond, 1995). Ngưỡng cắt theo Henry &amp; Crawford (2005): trầm cảm ≥5, lo âu ≥4, căng thẳng ≥8.</w:t>
      </w:r>
    </w:p>
    <w:p>
      <w:r>
        <w:rPr>
          <w:rFonts w:ascii="Times New Roman" w:hAnsi="Times New Roman"/>
          <w:b w:val="0"/>
          <w:color w:val="0070C0"/>
          <w:sz w:val="24"/>
        </w:rPr>
        <w:t>ACEs gồm 10 loại trải nghiệm bất lợi: lạm dụng thể chất, cảm xúc, tình dục; bỏ mặc thể chất, cảm xúc; bạo lực gia đình; nghiện chất; bệnh tâm thần cha mẹ; ly hôn; tù đày.</w:t>
      </w:r>
    </w:p>
    <w:p>
      <w:r>
        <w:rPr>
          <w:rFonts w:ascii="Times New Roman" w:hAnsi="Times New Roman"/>
          <w:b/>
          <w:color w:val="0070C0"/>
          <w:sz w:val="24"/>
        </w:rPr>
        <w:t>Tổng quan tài liệu của chúng tôi cho thấy dữ liệu về sức khỏe tâm thần thanh thiếu niên dân tộc thiểu số nội trú vùng cao Việt Nam còn rất hạn chế. UNICEF (2017) báo cáo 68,4% trẻ 1–14 tuổi VN trải qua kỷ luật thể chất hoặc tâm lý. Nghiên cứu trước (Thai và cộng sự, 2020) trên 4.957 VTN cho thấy 86% có ít nhất 1 ACE. Đây là nghiên cứu đầu tiên nhắm đến nhóm DTTS nội trú.</w:t>
      </w:r>
    </w:p>
    <w:p>
      <w:r>
        <w:rPr>
          <w:rFonts w:ascii="Times New Roman" w:hAnsi="Times New Roman"/>
          <w:b w:val="0"/>
          <w:color w:val="0070C0"/>
          <w:sz w:val="24"/>
        </w:rPr>
        <w:t>Dữ liệu bao gồm tuổi, giới tính, dân tộc (Tày/Nùng/khác), tần suất về nhà, tần suất cha mẹ thăm, số người sống cùng, chất lượng tình bạn, hoạt động thể chất, tần suất sử dụng internet, nguồn thông tin SKTT, chiến lược ứng phó.</w:t>
      </w:r>
    </w:p>
    <w:p>
      <w:r>
        <w:rPr>
          <w:rFonts w:ascii="Times New Roman" w:hAnsi="Times New Roman"/>
          <w:b w:val="0"/>
          <w:color w:val="0070C0"/>
          <w:sz w:val="24"/>
        </w:rPr>
        <w:t>Nghiên cứu cắt ngang tại trường nội trú DTTS tỉnh Lạng Sơn, n = 845. Phân tích: hồi quy Logistic đa biến (OR) cho biến nhị phân + hồi quy Tobit (Coef.) cho điểm liên tục.</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sức khỏe tâm thần và ACEs (N = 845):</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Trầm cảm (DASS-21 ≥5)</w:t>
            </w:r>
          </w:p>
        </w:tc>
        <w:tc>
          <w:tcPr>
            <w:tcW w:type="dxa" w:w="3135"/>
            <w:tcW w:w="1417" w:type="dxa"/>
          </w:tcPr>
          <w:p>
            <w:r>
              <w:rPr>
                <w:rFonts w:ascii="Times New Roman" w:hAnsi="Times New Roman"/>
                <w:sz w:val="20"/>
              </w:rPr>
              <w:t>59,0%</w:t>
            </w:r>
          </w:p>
        </w:tc>
        <w:tc>
          <w:tcPr>
            <w:tcW w:type="dxa" w:w="3135"/>
            <w:tcW w:w="2835" w:type="dxa"/>
          </w:tcPr>
          <w:p>
            <w:r>
              <w:rPr>
                <w:rFonts w:ascii="Times New Roman" w:hAnsi="Times New Roman"/>
                <w:sz w:val="20"/>
              </w:rPr>
              <w:t>Cao nhất trong 3 chỉ số</w:t>
            </w:r>
          </w:p>
        </w:tc>
      </w:tr>
      <w:tr>
        <w:tc>
          <w:tcPr>
            <w:tcW w:type="dxa" w:w="3135"/>
            <w:tcW w:w="2268" w:type="dxa"/>
          </w:tcPr>
          <w:p>
            <w:r>
              <w:rPr>
                <w:rFonts w:ascii="Times New Roman" w:hAnsi="Times New Roman"/>
                <w:sz w:val="20"/>
              </w:rPr>
              <w:t>Lo âu (DASS-21 ≥4)</w:t>
            </w:r>
          </w:p>
        </w:tc>
        <w:tc>
          <w:tcPr>
            <w:tcW w:type="dxa" w:w="3135"/>
            <w:tcW w:w="1417" w:type="dxa"/>
          </w:tcPr>
          <w:p>
            <w:r>
              <w:rPr>
                <w:rFonts w:ascii="Times New Roman" w:hAnsi="Times New Roman"/>
                <w:sz w:val="20"/>
              </w:rPr>
              <w:t>54,4%</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Căng thẳng (DASS-21 ≥8)</w:t>
            </w:r>
          </w:p>
        </w:tc>
        <w:tc>
          <w:tcPr>
            <w:tcW w:type="dxa" w:w="3135"/>
            <w:tcW w:w="1417" w:type="dxa"/>
          </w:tcPr>
          <w:p>
            <w:r>
              <w:rPr>
                <w:rFonts w:ascii="Times New Roman" w:hAnsi="Times New Roman"/>
                <w:sz w:val="20"/>
              </w:rPr>
              <w:t>24,7%</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ACEs (≥1 trải nghiệm)</w:t>
            </w:r>
          </w:p>
        </w:tc>
        <w:tc>
          <w:tcPr>
            <w:tcW w:type="dxa" w:w="3135"/>
            <w:tcW w:w="1417" w:type="dxa"/>
          </w:tcPr>
          <w:p>
            <w:r>
              <w:rPr>
                <w:rFonts w:ascii="Times New Roman" w:hAnsi="Times New Roman"/>
                <w:sz w:val="20"/>
              </w:rPr>
              <w:t>48,9%</w:t>
            </w:r>
          </w:p>
        </w:tc>
        <w:tc>
          <w:tcPr>
            <w:tcW w:type="dxa" w:w="3135"/>
            <w:tcW w:w="2835" w:type="dxa"/>
          </w:tcPr>
          <w:p>
            <w:r>
              <w:rPr>
                <w:rFonts w:ascii="Times New Roman" w:hAnsi="Times New Roman"/>
                <w:sz w:val="20"/>
              </w:rPr>
              <w:t>TB = 1,1; SD = 1,8; range 0–6</w:t>
            </w:r>
          </w:p>
        </w:tc>
      </w:tr>
    </w:tbl>
    <w:p/>
    <w:p>
      <w:r>
        <w:rPr>
          <w:rFonts w:ascii="Times New Roman" w:hAnsi="Times New Roman"/>
          <w:b/>
          <w:color w:val="0070C0"/>
          <w:sz w:val="24"/>
        </w:rPr>
        <w:t>Yếu tố liên quan (hồi quy Logistic + Tobit đa biến):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Coef./OR</w:t>
            </w:r>
          </w:p>
        </w:tc>
        <w:tc>
          <w:tcPr>
            <w:tcW w:type="dxa" w:w="2351"/>
            <w:tcW w:w="1417"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Số ACEs → lo âu</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căng thẳng</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trầm cảm</w:t>
            </w:r>
          </w:p>
        </w:tc>
        <w:tc>
          <w:tcPr>
            <w:tcW w:type="dxa" w:w="2351"/>
            <w:tcW w:w="1417" w:type="dxa"/>
          </w:tcPr>
          <w:p>
            <w:r>
              <w:rPr>
                <w:rFonts w:ascii="Times New Roman" w:hAnsi="Times New Roman"/>
                <w:sz w:val="20"/>
              </w:rPr>
              <w:t>Coef. = 0,16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Bạn bè kém → trầm cảm</w:t>
            </w:r>
          </w:p>
        </w:tc>
        <w:tc>
          <w:tcPr>
            <w:tcW w:type="dxa" w:w="2351"/>
            <w:tcW w:w="1417" w:type="dxa"/>
          </w:tcPr>
          <w:p>
            <w:r>
              <w:rPr>
                <w:rFonts w:ascii="Times New Roman" w:hAnsi="Times New Roman"/>
                <w:sz w:val="20"/>
              </w:rPr>
              <w:t>OR = 6,84***</w:t>
            </w:r>
          </w:p>
        </w:tc>
        <w:tc>
          <w:tcPr>
            <w:tcW w:type="dxa" w:w="2351"/>
            <w:tcW w:w="1417" w:type="dxa"/>
          </w:tcPr>
          <w:p>
            <w:r>
              <w:rPr>
                <w:rFonts w:ascii="Times New Roman" w:hAnsi="Times New Roman"/>
                <w:sz w:val="20"/>
              </w:rPr>
              <w:t>2,03–23,02</w:t>
            </w:r>
          </w:p>
        </w:tc>
        <w:tc>
          <w:tcPr>
            <w:tcW w:type="dxa" w:w="2351"/>
            <w:tcW w:w="1984" w:type="dxa"/>
          </w:tcPr>
          <w:p>
            <w:r>
              <w:rPr>
                <w:rFonts w:ascii="Times New Roman" w:hAnsi="Times New Roman"/>
                <w:sz w:val="20"/>
              </w:rPr>
              <w:t>RẤT MẠNH</w:t>
            </w:r>
          </w:p>
        </w:tc>
      </w:tr>
      <w:tr>
        <w:tc>
          <w:tcPr>
            <w:tcW w:type="dxa" w:w="2351"/>
            <w:tcW w:w="2268" w:type="dxa"/>
          </w:tcPr>
          <w:p>
            <w:r>
              <w:rPr>
                <w:rFonts w:ascii="Times New Roman" w:hAnsi="Times New Roman"/>
                <w:sz w:val="20"/>
              </w:rPr>
              <w:t>Bạn bè kém → lo âu</w:t>
            </w:r>
          </w:p>
        </w:tc>
        <w:tc>
          <w:tcPr>
            <w:tcW w:type="dxa" w:w="2351"/>
            <w:tcW w:w="1417" w:type="dxa"/>
          </w:tcPr>
          <w:p>
            <w:r>
              <w:rPr>
                <w:rFonts w:ascii="Times New Roman" w:hAnsi="Times New Roman"/>
                <w:sz w:val="20"/>
              </w:rPr>
              <w:t>Coef. = 0,54–1,46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Fair/Poor đều tăng</w:t>
            </w:r>
          </w:p>
        </w:tc>
      </w:tr>
      <w:tr>
        <w:tc>
          <w:tcPr>
            <w:tcW w:type="dxa" w:w="2351"/>
            <w:tcW w:w="2268" w:type="dxa"/>
          </w:tcPr>
          <w:p>
            <w:r>
              <w:rPr>
                <w:rFonts w:ascii="Times New Roman" w:hAnsi="Times New Roman"/>
                <w:sz w:val="20"/>
              </w:rPr>
              <w:t>Sống ≥10 người → lo âu</w:t>
            </w:r>
          </w:p>
        </w:tc>
        <w:tc>
          <w:tcPr>
            <w:tcW w:type="dxa" w:w="2351"/>
            <w:tcW w:w="1417" w:type="dxa"/>
          </w:tcPr>
          <w:p>
            <w:r>
              <w:rPr>
                <w:rFonts w:ascii="Times New Roman" w:hAnsi="Times New Roman"/>
                <w:sz w:val="20"/>
              </w:rPr>
              <w:t>OR = 0,51***</w:t>
            </w:r>
          </w:p>
        </w:tc>
        <w:tc>
          <w:tcPr>
            <w:tcW w:type="dxa" w:w="2351"/>
            <w:tcW w:w="1417" w:type="dxa"/>
          </w:tcPr>
          <w:p>
            <w:r>
              <w:rPr>
                <w:rFonts w:ascii="Times New Roman" w:hAnsi="Times New Roman"/>
                <w:sz w:val="20"/>
              </w:rPr>
              <w:t>0,33–0,77</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thể chất → lo âu</w:t>
            </w:r>
          </w:p>
        </w:tc>
        <w:tc>
          <w:tcPr>
            <w:tcW w:type="dxa" w:w="2351"/>
            <w:tcW w:w="1417" w:type="dxa"/>
          </w:tcPr>
          <w:p>
            <w:r>
              <w:rPr>
                <w:rFonts w:ascii="Times New Roman" w:hAnsi="Times New Roman"/>
                <w:sz w:val="20"/>
              </w:rPr>
              <w:t>OR = 0,72**</w:t>
            </w:r>
          </w:p>
        </w:tc>
        <w:tc>
          <w:tcPr>
            <w:tcW w:type="dxa" w:w="2351"/>
            <w:tcW w:w="1417" w:type="dxa"/>
          </w:tcPr>
          <w:p>
            <w:r>
              <w:rPr>
                <w:rFonts w:ascii="Times New Roman" w:hAnsi="Times New Roman"/>
                <w:sz w:val="20"/>
              </w:rPr>
              <w:t>0,51–1,00</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Internet 5h/ngày → lo âu</w:t>
            </w:r>
          </w:p>
        </w:tc>
        <w:tc>
          <w:tcPr>
            <w:tcW w:type="dxa" w:w="2351"/>
            <w:tcW w:w="1417" w:type="dxa"/>
          </w:tcPr>
          <w:p>
            <w:r>
              <w:rPr>
                <w:rFonts w:ascii="Times New Roman" w:hAnsi="Times New Roman"/>
                <w:sz w:val="20"/>
              </w:rPr>
              <w:t>OR = 0,43**</w:t>
            </w:r>
          </w:p>
        </w:tc>
        <w:tc>
          <w:tcPr>
            <w:tcW w:type="dxa" w:w="2351"/>
            <w:tcW w:w="1417" w:type="dxa"/>
          </w:tcPr>
          <w:p>
            <w:r>
              <w:rPr>
                <w:rFonts w:ascii="Times New Roman" w:hAnsi="Times New Roman"/>
                <w:sz w:val="20"/>
              </w:rPr>
              <w:t>0,21–0,86</w:t>
            </w:r>
          </w:p>
        </w:tc>
        <w:tc>
          <w:tcPr>
            <w:tcW w:type="dxa" w:w="2351"/>
            <w:tcW w:w="1984" w:type="dxa"/>
          </w:tcPr>
          <w:p>
            <w:r>
              <w:rPr>
                <w:rFonts w:ascii="Times New Roman" w:hAnsi="Times New Roman"/>
                <w:sz w:val="20"/>
              </w:rPr>
              <w:t>Bảo vệ (vs cuối tuần)</w:t>
            </w:r>
          </w:p>
        </w:tc>
      </w:tr>
      <w:tr>
        <w:tc>
          <w:tcPr>
            <w:tcW w:type="dxa" w:w="2351"/>
            <w:tcW w:w="2268" w:type="dxa"/>
          </w:tcPr>
          <w:p>
            <w:r>
              <w:rPr>
                <w:rFonts w:ascii="Times New Roman" w:hAnsi="Times New Roman"/>
                <w:sz w:val="20"/>
              </w:rPr>
              <w:t>TT từ bạn bè → lo âu</w:t>
            </w:r>
          </w:p>
        </w:tc>
        <w:tc>
          <w:tcPr>
            <w:tcW w:type="dxa" w:w="2351"/>
            <w:tcW w:w="1417" w:type="dxa"/>
          </w:tcPr>
          <w:p>
            <w:r>
              <w:rPr>
                <w:rFonts w:ascii="Times New Roman" w:hAnsi="Times New Roman"/>
                <w:sz w:val="20"/>
              </w:rPr>
              <w:t>OR = 0,57*</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Bảo vệ</w:t>
            </w:r>
          </w:p>
        </w:tc>
      </w:tr>
    </w:tbl>
    <w:p/>
    <w:p>
      <w:pPr>
        <w:pStyle w:val="Heading3"/>
      </w:pPr>
      <w:r>
        <w:rPr>
          <w:rFonts w:ascii="Times New Roman" w:hAnsi="Times New Roman"/>
          <w:color w:val="0070C0"/>
        </w:rPr>
        <w:t>Khác biệt giới tính : Tổng quan tài liệu cho thấy nữ giới thường có tỷ lệ lo âu cao hơn nam (Salk và cộng sự, 2017). Tuy nhiên, nghiên cứu này không phân tích giới tính chi tiết cho lo âu — chỉ có OR = 1,29 cho căng thẳng ở nữ, không đạt ý nghĩa (P &gt; 0,05). Đây là khoảng trống quan trọng khi văn hóa giới ở vùng DTTS có thể khác biệt so với vùng Kinh.</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ACEs, tình bạn và bối cảnh trường nội trú</w:t>
      </w:r>
    </w:p>
    <w:p>
      <w:r>
        <w:rPr>
          <w:rFonts w:ascii="Times New Roman" w:hAnsi="Times New Roman"/>
          <w:b w:val="0"/>
          <w:color w:val="0070C0"/>
          <w:sz w:val="24"/>
        </w:rPr>
        <w:t>*ACEs và sức khỏe tâm thần.* Nổi bật nhất là mối liên hệ dương tính giữa số ACEs và tất cả 3 chỉ số SKTT (Coef. = 0,16–0,28). Gần 50% HS DTTS nội trú đã trải qua ít nhất 1 ACE — cao hơn trung bình các nước LMIC (Blum và cộng sự, 2019) nhưng thấp hơn NC trước tại VN (Thai 2020: 86%). Điều này có thể do HS nội trú ít về nhà, ít tiếp xúc ACEs trực tiếp.</w:t>
      </w:r>
    </w:p>
    <w:p>
      <w:r>
        <w:rPr>
          <w:rFonts w:ascii="Times New Roman" w:hAnsi="Times New Roman"/>
          <w:b w:val="0"/>
          <w:color w:val="0070C0"/>
          <w:sz w:val="24"/>
        </w:rPr>
        <w:t>*Mối quan hệ bạn bè.* Bạn bè kém (Poor) tăng nguy cơ trầm cảm cực mạnh: OR = 6,84 (KTC 2,03–23,02). Trong bối cảnh trường nội trú — nơi HS sống xa gia đình — bạn bè trở thành nguồn hỗ trợ chính. Phát hiện này tương tự NSCH 2020 (khó kết bạn gấp 10 lần) và Nag và cộng sự (2019) tại Tripura, Ấn Độ.</w:t>
      </w:r>
    </w:p>
    <w:p>
      <w:r>
        <w:rPr>
          <w:rFonts w:ascii="Times New Roman" w:hAnsi="Times New Roman"/>
          <w:b w:val="0"/>
          <w:color w:val="0070C0"/>
          <w:sz w:val="24"/>
        </w:rPr>
        <w:t>*Internet hàng ngày.* Sử dụng internet hàng ngày (5h) bảo vệ hơn cuối tuần (OR = 0,43) — có thể do sử dụng đều đặn giúp kết nối xã hội tốt hơn. Nguồn thông tin từ trường KHÔNG liên quan SKTT — gợi ý vai trò SKTT của trường chưa đủ mạnh.</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rất cao trầm cảm (59,0%), lo âu (54,4%) và ACEs (48,9%) ở thanh thiếu niên dân tộc thiểu số nội trú tại Lạng Sơn — nghiên cứu đầu tiên nhắm đến nhóm đặc biệt dễ bị tổn thương này tại Việt Nam, gợi ý rằng can thiệp cần nhắm vào: giảm ACEs, cải thiện mối quan hệ bạn bè (OR trầm cảm = 6,84 nếu bạn bè kém), và tăng cường dịch vụ SKTT tại trường nội trú. Trong bối cảnh trường nội trú DTTS vùng cao, nhu cầu phát triển chương trình hỗ trợ tâm lý nhạy cảm văn hóa là cấp thiết.</w:t>
      </w:r>
    </w:p>
    <w:p>
      <w:pPr>
        <w:pStyle w:val="Heading2"/>
      </w:pPr>
      <w:r>
        <w:rPr>
          <w:rFonts w:ascii="Times New Roman" w:hAnsi="Times New Roman"/>
          <w:color w:val="FF0000"/>
        </w:rPr>
        <w:t>Phản biện</w:t>
      </w:r>
    </w:p>
    <w:p>
      <w:r>
        <w:rPr>
          <w:rFonts w:ascii="Times New Roman" w:hAnsi="Times New Roman"/>
          <w:b w:val="0"/>
          <w:color w:val="0070C0"/>
          <w:sz w:val="24"/>
        </w:rPr>
        <w:t>Nghiên cứu đầu tiên DTTS nội trú VN, kết hợp DASS-21 + ACEs, hồi quy Logistic + Tobit đa biến, Elsevier Open Access. Tuy nhiên, chỉ 1 tỉnh (Lạng Sơn) — không đại diện cho tất cả DTTS VN. DASS-21 ngưỡng thấp (lo âu ≥4) — so V-NAMHS 2022 (DISC-5: 2,3%), chênh lệch 24 lần. Không phân tích giới tính chi tiết. ACEs tự báo cáo hồi cứu — recall bias. Tạp chí J Affective Disorders Reports (không phải J Affective Disorders Q1) — chưa có IF ổn định.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đến nhiều tỉnh vùng cao (Hà Giang, Lai Châu, Sơn La). So sánh DTTS nội trú vs không nội trú vs Kinh cùng vùng. Nghiên cứu dọc ACEs → SKTT. Can thiệp cải thiện tình bạn tại trường nội trú. Phân tích giới tính chi tiết ở DTTS.</w:t>
      </w:r>
    </w:p>
    <w:p/>
    <w:p>
      <w:r>
        <w:rPr>
          <w:rFonts w:ascii="Times New Roman" w:hAnsi="Times New Roman"/>
          <w:b/>
          <w:sz w:val="24"/>
        </w:rPr>
        <w:t>Đánh giá chất lượng: ⭐⭐⭐ Trung bình-Khá. NC đầu tiên DTTS nội trú VN, DASS-21+ACEs, hồi quy đa biến, Elsevier OA, nhưng 1 tỉnh và DASS ngưỡng thấp.</w:t>
      </w:r>
    </w:p>
    <w:p/>
    <w:p>
      <w:pPr>
        <w:spacing w:line="360" w:lineRule="auto"/>
      </w:pPr>
      <w:r>
        <w:rPr>
          <w:rFonts w:ascii="Times New Roman" w:hAnsi="Times New Roman"/>
          <w:b/>
          <w:sz w:val="26"/>
        </w:rPr>
        <w:t>Tham khao</w:t>
      </w:r>
    </w:p>
    <w:p>
      <w:pPr>
        <w:spacing w:line="360" w:lineRule="auto"/>
      </w:pPr>
      <w:r>
        <w:rPr>
          <w:rFonts w:ascii="Times New Roman" w:hAnsi="Times New Roman"/>
          <w:sz w:val="24"/>
        </w:rPr>
        <w:t>NgoAnhVinh (2024).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02_Papers-goc/Viet-Nam/VN015_NgoAnhVinh_2024_LangSon_DTTS.pdf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