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VN-22</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Nghiên cứu toàn diện về các yếu tố liên quan đến trường học ảnh hưởng đến sức khỏe tâm thần và hạnh phúc của thanh thiếu niên nam và nữ tại Việt Nam » (Comprehensive Study on School-Related Factors Impacting Mental Health and Well-Being of Adolescent Boys and Girls in Viet Nam), do UNICEF Việt Nam phối hợp Bộ Giáo dục và Đào tạo (MOET), tư vấn quốc tế Amie Alley Pollack và tư vấn quốc gia Đặng Hoàng Minh (ĐH Quốc gia Hà Nội), khảo sát 668 HS THCS/THPT + 66 GV tại 5 tỉnh (Hà Nội, Điện Biên, Đồng Tháp, Gia Lai (+ TPHCM theo kế hoạch nhưng bỏ do COVID-19)). Mixed methods: SDQ-25 + ESSA + FGD + KII. 2022, 118 trang.</w:t>
      </w:r>
    </w:p>
    <w:p>
      <w:r>
        <w:rPr>
          <w:rFonts w:ascii="Times New Roman" w:hAnsi="Times New Roman"/>
          <w:b/>
          <w:i w:val="0"/>
          <w:sz w:val="24"/>
        </w:rPr>
        <w:t>Phương pháp nghiên cứu</w:t>
      </w:r>
    </w:p>
    <w:p>
      <w:r>
        <w:rPr>
          <w:rFonts w:ascii="Times New Roman" w:hAnsi="Times New Roman"/>
          <w:b w:val="0"/>
          <w:i w:val="0"/>
          <w:sz w:val="24"/>
        </w:rPr>
        <w:t>Phương pháp hỗn hợp (mixed methods): khảo sát 668 HS (SDQ-25 + ESSA) + 66 GV + FGD HS, cha mẹ, GV + KII hiệu trưởng, sở, bộ. Nói cách khác, đây là NC TOÀN DIỆN NHẤT về yếu tố trường học ảnh hưởng SKTT VTN VN — kết hợp cả định lượng (SDQ, ESSA) và định tính (quotes trực tiếp) trên 5 tỉnh đại diện Bắc-Trung-Nam.</w:t>
      </w:r>
    </w:p>
    <w:p>
      <w:r>
        <w:rPr>
          <w:rFonts w:ascii="Times New Roman" w:hAnsi="Times New Roman"/>
          <w:b w:val="0"/>
          <w:i w:val="0"/>
          <w:sz w:val="24"/>
        </w:rPr>
        <w:t>SDQ-25 (Goodman, 1997) — đo vấn đề hành vi + cảm xúc. ESSA (Sun et al., 2011) — đo áp lực HT, đã xác thực VN (Truc et al., 2012). 5 tỉnh: đô thị (Hà Nội) + nông thôn (Đồng Tháp) + DTTS (Điện Biên, Gia Lai) + Tây Nguyên (Gia Lai).</w:t>
      </w:r>
    </w:p>
    <w:p>
      <w:r>
        <w:rPr>
          <w:rFonts w:ascii="Times New Roman" w:hAnsi="Times New Roman"/>
          <w:b/>
          <w:i w:val="0"/>
          <w:sz w:val="24"/>
        </w:rPr>
        <w:t>Kết quả nghiên cứu định lượng</w:t>
      </w:r>
    </w:p>
    <w:p>
      <w:pPr>
        <w:pStyle w:val="Heading3"/>
      </w:pPr>
      <w:r>
        <w:rPr>
          <w:rFonts w:ascii="Times New Roman" w:hAnsi="Times New Roman"/>
          <w:color w:val="000000"/>
        </w:rPr>
        <w:t>Bảng 1. Phát hiện chính — Yếu tố trường học ảnh hưởng SKTT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Yếu tố</w:t>
            </w:r>
          </w:p>
        </w:tc>
        <w:tc>
          <w:tcPr>
            <w:tcW w:type="dxa" w:w="2351"/>
            <w:tcW w:w="1701" w:type="dxa"/>
            <w:shd w:fill="D9E2F3" w:val="clear"/>
          </w:tcPr>
          <w:p>
            <w:pPr>
              <w:jc w:val="center"/>
            </w:pPr>
            <w:r>
              <w:rPr>
                <w:rFonts w:ascii="Times New Roman" w:hAnsi="Times New Roman"/>
                <w:b/>
                <w:sz w:val="20"/>
              </w:rPr>
              <w:t>Phát hiện</w:t>
            </w:r>
          </w:p>
        </w:tc>
        <w:tc>
          <w:tcPr>
            <w:tcW w:type="dxa" w:w="2351"/>
            <w:tcW w:w="1984" w:type="dxa"/>
            <w:shd w:fill="D9E2F3" w:val="clear"/>
          </w:tcPr>
          <w:p>
            <w:pPr>
              <w:jc w:val="center"/>
            </w:pPr>
            <w:r>
              <w:rPr>
                <w:rFonts w:ascii="Times New Roman" w:hAnsi="Times New Roman"/>
                <w:b/>
                <w:sz w:val="20"/>
              </w:rPr>
              <w:t>Số liệu</w:t>
            </w:r>
          </w:p>
        </w:tc>
        <w:tc>
          <w:tcPr>
            <w:tcW w:type="dxa" w:w="2351"/>
            <w:tcW w:w="2268" w:type="dxa"/>
            <w:shd w:fill="D9E2F3" w:val="clear"/>
          </w:tcPr>
          <w:p>
            <w:pPr>
              <w:jc w:val="center"/>
            </w:pPr>
            <w:r>
              <w:rPr>
                <w:rFonts w:ascii="Times New Roman" w:hAnsi="Times New Roman"/>
                <w:b/>
                <w:sz w:val="20"/>
              </w:rPr>
              <w:t>So sánh liên bài</w:t>
            </w:r>
          </w:p>
        </w:tc>
      </w:tr>
      <w:tr>
        <w:tc>
          <w:tcPr>
            <w:tcW w:type="dxa" w:w="2351"/>
            <w:tcW w:w="1701" w:type="dxa"/>
          </w:tcPr>
          <w:p>
            <w:r>
              <w:rPr>
                <w:rFonts w:ascii="Times New Roman" w:hAnsi="Times New Roman"/>
                <w:sz w:val="20"/>
              </w:rPr>
              <w:t>Áp lực học tập</w:t>
            </w:r>
          </w:p>
        </w:tc>
        <w:tc>
          <w:tcPr>
            <w:tcW w:type="dxa" w:w="2351"/>
            <w:tcW w:w="1701" w:type="dxa"/>
          </w:tcPr>
          <w:p>
            <w:r>
              <w:rPr>
                <w:rFonts w:ascii="Times New Roman" w:hAnsi="Times New Roman"/>
                <w:sz w:val="20"/>
              </w:rPr>
              <w:t>Nguồn căng thẳng CHÍNH</w:t>
            </w:r>
          </w:p>
        </w:tc>
        <w:tc>
          <w:tcPr>
            <w:tcW w:type="dxa" w:w="2351"/>
            <w:tcW w:w="1984" w:type="dxa"/>
          </w:tcPr>
          <w:p>
            <w:r>
              <w:rPr>
                <w:rFonts w:ascii="Times New Roman" w:hAnsi="Times New Roman"/>
                <w:sz w:val="20"/>
              </w:rPr>
              <w:t>50% HS học thêm &gt;3h/tuần; 15% &gt;9h/tuần</w:t>
            </w:r>
          </w:p>
        </w:tc>
        <w:tc>
          <w:tcPr>
            <w:tcW w:type="dxa" w:w="2351"/>
            <w:tcW w:w="2268" w:type="dxa"/>
          </w:tcPr>
          <w:p>
            <w:r>
              <w:rPr>
                <w:rFonts w:ascii="Times New Roman" w:hAnsi="Times New Roman"/>
                <w:sz w:val="20"/>
              </w:rPr>
              <w:t>VN21: beta=4,73; Wen QT08: OR=11,58</w:t>
            </w:r>
          </w:p>
        </w:tc>
      </w:tr>
      <w:tr>
        <w:tc>
          <w:tcPr>
            <w:tcW w:type="dxa" w:w="2351"/>
            <w:tcW w:w="1701" w:type="dxa"/>
          </w:tcPr>
          <w:p>
            <w:r>
              <w:rPr>
                <w:rFonts w:ascii="Times New Roman" w:hAnsi="Times New Roman"/>
                <w:sz w:val="20"/>
              </w:rPr>
              <w:t>Gắn kết trường</w:t>
            </w:r>
          </w:p>
        </w:tc>
        <w:tc>
          <w:tcPr>
            <w:tcW w:type="dxa" w:w="2351"/>
            <w:tcW w:w="1701" w:type="dxa"/>
          </w:tcPr>
          <w:p>
            <w:r>
              <w:rPr>
                <w:rFonts w:ascii="Times New Roman" w:hAnsi="Times New Roman"/>
                <w:sz w:val="20"/>
              </w:rPr>
              <w:t>Thấp → SKTT kém hơn</w:t>
            </w:r>
          </w:p>
        </w:tc>
        <w:tc>
          <w:tcPr>
            <w:tcW w:type="dxa" w:w="2351"/>
            <w:tcW w:w="1984" w:type="dxa"/>
          </w:tcPr>
          <w:p>
            <w:r>
              <w:rPr>
                <w:rFonts w:ascii="Times New Roman" w:hAnsi="Times New Roman"/>
                <w:sz w:val="20"/>
              </w:rPr>
              <w:t>Nữ ít gắn kết hơn nam</w:t>
            </w:r>
          </w:p>
        </w:tc>
        <w:tc>
          <w:tcPr>
            <w:tcW w:type="dxa" w:w="2351"/>
            <w:tcW w:w="2268" w:type="dxa"/>
          </w:tcPr>
          <w:p>
            <w:r>
              <w:rPr>
                <w:rFonts w:ascii="Times New Roman" w:hAnsi="Times New Roman"/>
                <w:sz w:val="20"/>
              </w:rPr>
              <w:t>Norway QT21: bất mãn trường giải thích chính</w:t>
            </w:r>
          </w:p>
        </w:tc>
      </w:tr>
      <w:tr>
        <w:tc>
          <w:tcPr>
            <w:tcW w:type="dxa" w:w="2351"/>
            <w:tcW w:w="1701" w:type="dxa"/>
          </w:tcPr>
          <w:p>
            <w:r>
              <w:rPr>
                <w:rFonts w:ascii="Times New Roman" w:hAnsi="Times New Roman"/>
                <w:sz w:val="20"/>
              </w:rPr>
              <w:t>Bắt nạt/Cyberbullying</w:t>
            </w:r>
          </w:p>
        </w:tc>
        <w:tc>
          <w:tcPr>
            <w:tcW w:type="dxa" w:w="2351"/>
            <w:tcW w:w="1701" w:type="dxa"/>
          </w:tcPr>
          <w:p>
            <w:r>
              <w:rPr>
                <w:rFonts w:ascii="Times New Roman" w:hAnsi="Times New Roman"/>
                <w:sz w:val="20"/>
              </w:rPr>
              <w:t>Yếu tố nguy cơ nghiêm trọng</w:t>
            </w:r>
          </w:p>
        </w:tc>
        <w:tc>
          <w:tcPr>
            <w:tcW w:type="dxa" w:w="2351"/>
            <w:tcW w:w="1984" w:type="dxa"/>
          </w:tcPr>
          <w:p>
            <w:r>
              <w:rPr>
                <w:rFonts w:ascii="Times New Roman" w:hAnsi="Times New Roman"/>
                <w:sz w:val="20"/>
              </w:rPr>
              <w:t>THCS &gt; THPT</w:t>
            </w:r>
          </w:p>
        </w:tc>
        <w:tc>
          <w:tcPr>
            <w:tcW w:type="dxa" w:w="2351"/>
            <w:tcW w:w="2268" w:type="dxa"/>
          </w:tcPr>
          <w:p>
            <w:r>
              <w:rPr>
                <w:rFonts w:ascii="Times New Roman" w:hAnsi="Times New Roman"/>
                <w:sz w:val="20"/>
              </w:rPr>
              <w:t>Islam QT31: AOR=1,68</w:t>
            </w:r>
          </w:p>
        </w:tc>
      </w:tr>
      <w:tr>
        <w:tc>
          <w:tcPr>
            <w:tcW w:type="dxa" w:w="2351"/>
            <w:tcW w:w="1701" w:type="dxa"/>
          </w:tcPr>
          <w:p>
            <w:r>
              <w:rPr>
                <w:rFonts w:ascii="Times New Roman" w:hAnsi="Times New Roman"/>
                <w:sz w:val="20"/>
              </w:rPr>
              <w:t>Quan hệ thầy-trò</w:t>
            </w:r>
          </w:p>
        </w:tc>
        <w:tc>
          <w:tcPr>
            <w:tcW w:type="dxa" w:w="2351"/>
            <w:tcW w:w="1701" w:type="dxa"/>
          </w:tcPr>
          <w:p>
            <w:r>
              <w:rPr>
                <w:rFonts w:ascii="Times New Roman" w:hAnsi="Times New Roman"/>
                <w:sz w:val="20"/>
              </w:rPr>
              <w:t>HS không thoải mái tìm GV</w:t>
            </w:r>
          </w:p>
        </w:tc>
        <w:tc>
          <w:tcPr>
            <w:tcW w:type="dxa" w:w="2351"/>
            <w:tcW w:w="1984" w:type="dxa"/>
          </w:tcPr>
          <w:p>
            <w:r>
              <w:rPr>
                <w:rFonts w:ascii="Times New Roman" w:hAnsi="Times New Roman"/>
                <w:sz w:val="20"/>
              </w:rPr>
              <w:t>Rào cản: bảo mật, quyền lực</w:t>
            </w:r>
          </w:p>
        </w:tc>
        <w:tc>
          <w:tcPr>
            <w:tcW w:type="dxa" w:w="2351"/>
            <w:tcW w:w="2268" w:type="dxa"/>
          </w:tcPr>
          <w:p>
            <w:r>
              <w:rPr>
                <w:rFonts w:ascii="Times New Roman" w:hAnsi="Times New Roman"/>
                <w:sz w:val="20"/>
              </w:rPr>
              <w:t>Ireland QT32: OGA bảo vệ</w:t>
            </w:r>
          </w:p>
        </w:tc>
      </w:tr>
      <w:tr>
        <w:tc>
          <w:tcPr>
            <w:tcW w:type="dxa" w:w="2351"/>
            <w:tcW w:w="1701" w:type="dxa"/>
          </w:tcPr>
          <w:p>
            <w:r>
              <w:rPr>
                <w:rFonts w:ascii="Times New Roman" w:hAnsi="Times New Roman"/>
                <w:sz w:val="20"/>
              </w:rPr>
              <w:t>Tiếp cận dịch vụ</w:t>
            </w:r>
          </w:p>
        </w:tc>
        <w:tc>
          <w:tcPr>
            <w:tcW w:type="dxa" w:w="2351"/>
            <w:tcW w:w="1701" w:type="dxa"/>
          </w:tcPr>
          <w:p>
            <w:r>
              <w:rPr>
                <w:rFonts w:ascii="Times New Roman" w:hAnsi="Times New Roman"/>
                <w:sz w:val="20"/>
              </w:rPr>
              <w:t>Kỳ thị + thiếu nhân lực</w:t>
            </w:r>
          </w:p>
        </w:tc>
        <w:tc>
          <w:tcPr>
            <w:tcW w:type="dxa" w:w="2351"/>
            <w:tcW w:w="1984" w:type="dxa"/>
          </w:tcPr>
          <w:p>
            <w:r>
              <w:rPr>
                <w:rFonts w:ascii="Times New Roman" w:hAnsi="Times New Roman"/>
                <w:sz w:val="20"/>
              </w:rPr>
              <w:t>V-NAMHS: 8,4% tiếp cận</w:t>
            </w:r>
          </w:p>
        </w:tc>
        <w:tc>
          <w:tcPr>
            <w:tcW w:type="dxa" w:w="2351"/>
            <w:tcW w:w="2268" w:type="dxa"/>
          </w:tcPr>
          <w:p>
            <w:r>
              <w:rPr>
                <w:rFonts w:ascii="Times New Roman" w:hAnsi="Times New Roman"/>
                <w:sz w:val="20"/>
              </w:rPr>
              <w:t>UK NHS QT26: NHS phổ quát</w:t>
            </w:r>
          </w:p>
        </w:tc>
      </w:tr>
      <w:tr>
        <w:tc>
          <w:tcPr>
            <w:tcW w:type="dxa" w:w="2351"/>
            <w:tcW w:w="1701" w:type="dxa"/>
          </w:tcPr>
          <w:p>
            <w:r>
              <w:rPr>
                <w:rFonts w:ascii="Times New Roman" w:hAnsi="Times New Roman"/>
                <w:sz w:val="20"/>
              </w:rPr>
              <w:t>Giới tính</w:t>
            </w:r>
          </w:p>
        </w:tc>
        <w:tc>
          <w:tcPr>
            <w:tcW w:type="dxa" w:w="2351"/>
            <w:tcW w:w="1701" w:type="dxa"/>
          </w:tcPr>
          <w:p>
            <w:r>
              <w:rPr>
                <w:rFonts w:ascii="Times New Roman" w:hAnsi="Times New Roman"/>
                <w:sz w:val="20"/>
              </w:rPr>
              <w:t>Nữ cảm xúc &gt; Nam; Nam hành vi &gt;</w:t>
            </w:r>
          </w:p>
        </w:tc>
        <w:tc>
          <w:tcPr>
            <w:tcW w:type="dxa" w:w="2351"/>
            <w:tcW w:w="1984" w:type="dxa"/>
          </w:tcPr>
          <w:p>
            <w:r>
              <w:rPr>
                <w:rFonts w:ascii="Times New Roman" w:hAnsi="Times New Roman"/>
                <w:sz w:val="20"/>
              </w:rPr>
              <w:t>SDQ-25</w:t>
            </w:r>
          </w:p>
        </w:tc>
        <w:tc>
          <w:tcPr>
            <w:tcW w:type="dxa" w:w="2351"/>
            <w:tcW w:w="2268" w:type="dxa"/>
          </w:tcPr>
          <w:p>
            <w:r>
              <w:rPr>
                <w:rFonts w:ascii="Times New Roman" w:hAnsi="Times New Roman"/>
                <w:sz w:val="20"/>
              </w:rPr>
              <w:t>Islam QT31: nữ AOR=1,51</w:t>
            </w:r>
          </w:p>
        </w:tc>
      </w:tr>
    </w:tbl>
    <w:p>
      <w:pPr>
        <w:pStyle w:val="Heading3"/>
      </w:pPr>
      <w:r>
        <w:rPr>
          <w:rFonts w:ascii="Times New Roman" w:hAnsi="Times New Roman"/>
          <w:color w:val="000000"/>
        </w:rPr>
        <w:t>Bảng 2. Khuyến nghị chính sách 4 lĩnh vực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Lĩnh vực</w:t>
            </w:r>
          </w:p>
        </w:tc>
        <w:tc>
          <w:tcPr>
            <w:tcW w:type="dxa" w:w="3135"/>
            <w:tcW w:w="2835" w:type="dxa"/>
            <w:shd w:fill="D9E2F3" w:val="clear"/>
          </w:tcPr>
          <w:p>
            <w:pPr>
              <w:jc w:val="center"/>
            </w:pPr>
            <w:r>
              <w:rPr>
                <w:rFonts w:ascii="Times New Roman" w:hAnsi="Times New Roman"/>
                <w:b/>
                <w:sz w:val="20"/>
              </w:rPr>
              <w:t>Khuyến nghị then chốt</w:t>
            </w:r>
          </w:p>
        </w:tc>
        <w:tc>
          <w:tcPr>
            <w:tcW w:type="dxa" w:w="3135"/>
            <w:tcW w:w="2268" w:type="dxa"/>
            <w:shd w:fill="D9E2F3" w:val="clear"/>
          </w:tcPr>
          <w:p>
            <w:pPr>
              <w:jc w:val="center"/>
            </w:pPr>
            <w:r>
              <w:rPr>
                <w:rFonts w:ascii="Times New Roman" w:hAnsi="Times New Roman"/>
                <w:b/>
                <w:sz w:val="20"/>
              </w:rPr>
              <w:t>Liên bài</w:t>
            </w:r>
          </w:p>
        </w:tc>
      </w:tr>
      <w:tr>
        <w:tc>
          <w:tcPr>
            <w:tcW w:type="dxa" w:w="3135"/>
            <w:tcW w:w="1701" w:type="dxa"/>
          </w:tcPr>
          <w:p>
            <w:r>
              <w:rPr>
                <w:rFonts w:ascii="Times New Roman" w:hAnsi="Times New Roman"/>
                <w:sz w:val="20"/>
              </w:rPr>
              <w:t>Giáo dục (MOET)</w:t>
            </w:r>
          </w:p>
        </w:tc>
        <w:tc>
          <w:tcPr>
            <w:tcW w:type="dxa" w:w="3135"/>
            <w:tcW w:w="2835" w:type="dxa"/>
          </w:tcPr>
          <w:p>
            <w:r>
              <w:rPr>
                <w:rFonts w:ascii="Times New Roman" w:hAnsi="Times New Roman"/>
                <w:sz w:val="20"/>
              </w:rPr>
              <w:t>Giảm áp lực thi; tư vấn trường chuyên nghiệp; chống bắt nạt</w:t>
            </w:r>
          </w:p>
        </w:tc>
        <w:tc>
          <w:tcPr>
            <w:tcW w:type="dxa" w:w="3135"/>
            <w:tcW w:w="2268" w:type="dxa"/>
          </w:tcPr>
          <w:p>
            <w:r>
              <w:rPr>
                <w:rFonts w:ascii="Times New Roman" w:hAnsi="Times New Roman"/>
                <w:sz w:val="20"/>
              </w:rPr>
              <w:t>VN21, QT08, QT21, QT32</w:t>
            </w:r>
          </w:p>
        </w:tc>
      </w:tr>
      <w:tr>
        <w:tc>
          <w:tcPr>
            <w:tcW w:type="dxa" w:w="3135"/>
            <w:tcW w:w="1701" w:type="dxa"/>
          </w:tcPr>
          <w:p>
            <w:r>
              <w:rPr>
                <w:rFonts w:ascii="Times New Roman" w:hAnsi="Times New Roman"/>
                <w:sz w:val="20"/>
              </w:rPr>
              <w:t>Y tế (MOH)</w:t>
            </w:r>
          </w:p>
        </w:tc>
        <w:tc>
          <w:tcPr>
            <w:tcW w:type="dxa" w:w="3135"/>
            <w:tcW w:w="2835" w:type="dxa"/>
          </w:tcPr>
          <w:p>
            <w:r>
              <w:rPr>
                <w:rFonts w:ascii="Times New Roman" w:hAnsi="Times New Roman"/>
                <w:sz w:val="20"/>
              </w:rPr>
              <w:t>Xây dựng nhân lực SKTT trẻ em; đào tạo y tế trường</w:t>
            </w:r>
          </w:p>
        </w:tc>
        <w:tc>
          <w:tcPr>
            <w:tcW w:type="dxa" w:w="3135"/>
            <w:tcW w:w="2268" w:type="dxa"/>
          </w:tcPr>
          <w:p>
            <w:r>
              <w:rPr>
                <w:rFonts w:ascii="Times New Roman" w:hAnsi="Times New Roman"/>
                <w:sz w:val="20"/>
              </w:rPr>
              <w:t>V-NAMHS VN02, QT26</w:t>
            </w:r>
          </w:p>
        </w:tc>
      </w:tr>
      <w:tr>
        <w:tc>
          <w:tcPr>
            <w:tcW w:type="dxa" w:w="3135"/>
            <w:tcW w:w="1701" w:type="dxa"/>
          </w:tcPr>
          <w:p>
            <w:r>
              <w:rPr>
                <w:rFonts w:ascii="Times New Roman" w:hAnsi="Times New Roman"/>
                <w:sz w:val="20"/>
              </w:rPr>
              <w:t>Lao động-XH (MOLISA)</w:t>
            </w:r>
          </w:p>
        </w:tc>
        <w:tc>
          <w:tcPr>
            <w:tcW w:type="dxa" w:w="3135"/>
            <w:tcW w:w="2835" w:type="dxa"/>
          </w:tcPr>
          <w:p>
            <w:r>
              <w:rPr>
                <w:rFonts w:ascii="Times New Roman" w:hAnsi="Times New Roman"/>
                <w:sz w:val="20"/>
              </w:rPr>
              <w:t>Bảo vệ trẻ trực tuyến; kỹ năng cha mẹ</w:t>
            </w:r>
          </w:p>
        </w:tc>
        <w:tc>
          <w:tcPr>
            <w:tcW w:type="dxa" w:w="3135"/>
            <w:tcW w:w="2268" w:type="dxa"/>
          </w:tcPr>
          <w:p>
            <w:r>
              <w:rPr>
                <w:rFonts w:ascii="Times New Roman" w:hAnsi="Times New Roman"/>
                <w:sz w:val="20"/>
              </w:rPr>
              <w:t>QT27, QT31</w:t>
            </w:r>
          </w:p>
        </w:tc>
      </w:tr>
      <w:tr>
        <w:tc>
          <w:tcPr>
            <w:tcW w:type="dxa" w:w="3135"/>
            <w:tcW w:w="1701" w:type="dxa"/>
          </w:tcPr>
          <w:p>
            <w:r>
              <w:rPr>
                <w:rFonts w:ascii="Times New Roman" w:hAnsi="Times New Roman"/>
                <w:sz w:val="20"/>
              </w:rPr>
              <w:t>Liên ngành</w:t>
            </w:r>
          </w:p>
        </w:tc>
        <w:tc>
          <w:tcPr>
            <w:tcW w:type="dxa" w:w="3135"/>
            <w:tcW w:w="2835" w:type="dxa"/>
          </w:tcPr>
          <w:p>
            <w:r>
              <w:rPr>
                <w:rFonts w:ascii="Times New Roman" w:hAnsi="Times New Roman"/>
                <w:sz w:val="20"/>
              </w:rPr>
              <w:t>Phối hợp 3 bộ; giám sát; NC định kỳ</w:t>
            </w:r>
          </w:p>
        </w:tc>
        <w:tc>
          <w:tcPr>
            <w:tcW w:type="dxa" w:w="3135"/>
            <w:tcW w:w="2268" w:type="dxa"/>
          </w:tcPr>
          <w:p>
            <w:r>
              <w:rPr>
                <w:rFonts w:ascii="Times New Roman" w:hAnsi="Times New Roman"/>
                <w:sz w:val="20"/>
              </w:rPr>
              <w:t>QT24 WHO Europe</w:t>
            </w:r>
          </w:p>
        </w:tc>
      </w:tr>
    </w:tbl>
    <w:p>
      <w:r>
        <w:rPr>
          <w:rFonts w:ascii="Times New Roman" w:hAnsi="Times New Roman"/>
          <w:b/>
          <w:i w:val="0"/>
          <w:sz w:val="24"/>
        </w:rPr>
        <w:t>Đối chiếu liên bài</w:t>
      </w:r>
    </w:p>
    <w:p>
      <w:r>
        <w:rPr>
          <w:rFonts w:ascii="Times New Roman" w:hAnsi="Times New Roman"/>
          <w:b w:val="0"/>
          <w:i w:val="0"/>
          <w:sz w:val="24"/>
        </w:rPr>
        <w:t>UNICEF 2022 là NC DUY NHẤT tại VN kết hợp SDQ + ESSA + FGD + KII trên 5 tỉnh. Bổ sung mạnh cho V-NAMHS 2022 (VN02: chẩn đoán DISC-5, 38 tỉnh nhưng chỉ định lượng), Hoa 2024 (VN01: GAD-7 nhưng chỉ Hà Nội), VN21 (ESSA dọc nhưng chỉ Huế). Kết hợp 4 NC này cho bức tranh toàn diện nhất SKTT HS VN.</w:t>
      </w:r>
    </w:p>
    <w:p>
      <w:r>
        <w:rPr>
          <w:rFonts w:ascii="Times New Roman" w:hAnsi="Times New Roman"/>
          <w:b/>
          <w:i w:val="0"/>
          <w:sz w:val="24"/>
        </w:rPr>
        <w:t>Nhận xét, phát hiện qua kết quả nghiên cứu</w:t>
      </w:r>
    </w:p>
    <w:p>
      <w:r>
        <w:rPr>
          <w:rFonts w:ascii="Times New Roman" w:hAnsi="Times New Roman"/>
          <w:b w:val="0"/>
          <w:i w:val="0"/>
          <w:sz w:val="24"/>
        </w:rPr>
        <w:t>*Áp lực học tập + học thêm là yếu tố trường học MẠNH NHẤT.* 47% HS học thêm &gt;3h/tuần, 15% &gt;9h/tuần. Quotes HS Hà Nội: “Em nghĩ về bài tập suốt — trường, bài tập, và mọi thứ.” Phù hợp VN21 (beta=4,73) và Wen 2020 (OR=11,58).</w:t>
      </w:r>
    </w:p>
    <w:p>
      <w:r>
        <w:rPr>
          <w:rFonts w:ascii="Times New Roman" w:hAnsi="Times New Roman"/>
          <w:b w:val="0"/>
          <w:i w:val="0"/>
          <w:sz w:val="24"/>
        </w:rPr>
        <w:t>*Kỳ thị SKTT vẫn phổ biến.* Gia đình miễn cưỡng tìm kiếm hỗ trợ. VTN DTTS Điện Biên tự tử bằng cỏ ngắt (heartbreak grass). V-NAMHS: chỉ 5,1% phụ huynh nhận ra con cần giúp đỡ.</w:t>
      </w:r>
    </w:p>
    <w:p>
      <w:r>
        <w:rPr>
          <w:rFonts w:ascii="Times New Roman" w:hAnsi="Times New Roman"/>
          <w:b w:val="0"/>
          <w:i w:val="0"/>
          <w:sz w:val="24"/>
        </w:rPr>
        <w:t>*Mixed methods phát hiện “lo âu ẩn”.* Quotes trực tiếp cho thấy HS “giữ bên trong và không nói ra” — phù hợp Jefferies 2020 (QT35: 18% false negatives ở lo âu xã hội).</w:t>
      </w:r>
    </w:p>
    <w:p>
      <w:r>
        <w:rPr>
          <w:rFonts w:ascii="Times New Roman" w:hAnsi="Times New Roman"/>
          <w:b/>
          <w:i w:val="0"/>
          <w:sz w:val="24"/>
        </w:rPr>
        <w:t>Kết luận</w:t>
      </w:r>
    </w:p>
    <w:p>
      <w:r>
        <w:rPr>
          <w:rFonts w:ascii="Times New Roman" w:hAnsi="Times New Roman"/>
          <w:b w:val="0"/>
          <w:i w:val="0"/>
          <w:sz w:val="24"/>
        </w:rPr>
        <w:t>Dữ liệu UNICEF 668 HS + 66 GV tại 5 tỉnh, cho thấy áp lực học tập (50%+ HS học &gt; 2 giờ/ngày, 28% HS học &gt; 3 giờ/đêm; 50% HS có &gt; 3h học thêm/tuần (15% &gt; 9h)), bắt nạt, quan hệ thầy-trò kém, và kỳ thị SKTT là 4 yếu tố trường học chính ảnh hưởng SKTT VTN VN, gợi ý rằng can thiệp cần tập trung: (1) giảm áp lực thi cử + học thêm, (2) phát triển tư vấn trường chuyên nghiệp, (3) chống bắt nạt, (4) xây dựng nhân lực SKTT trẻ em — cần phối hợp liên ngành MOET-MOH-MOLISA.</w:t>
      </w:r>
    </w:p>
    <w:p>
      <w:r>
        <w:rPr>
          <w:rFonts w:ascii="Times New Roman" w:hAnsi="Times New Roman"/>
          <w:b/>
          <w:color w:val="FF0000"/>
          <w:sz w:val="26"/>
        </w:rPr>
        <w:t>Phản biện</w:t>
      </w:r>
    </w:p>
    <w:p>
      <w:r>
        <w:rPr>
          <w:rFonts w:ascii="Times New Roman" w:hAnsi="Times New Roman"/>
          <w:b w:val="0"/>
          <w:color w:val="FF0000"/>
          <w:sz w:val="24"/>
        </w:rPr>
        <w:t>UNICEF + MOET — uy tín cực cao. Mixed methods 5 tỉnh, 668 HS + 66 GV + FGD + KII. SDQ + ESSA đã xác thực VN. Nhưng: không peer-reviewed, SDQ chung (không GAD-7/DASS-21 riêng), n nhỏ (668), mẫu thuận tiện, năm 2022 (COVID), thiếu hồi quy đa biến.</w:t>
      </w:r>
    </w:p>
    <w:p>
      <w:r>
        <w:rPr>
          <w:rFonts w:ascii="Times New Roman" w:hAnsi="Times New Roman"/>
          <w:b/>
          <w:color w:val="FF0000"/>
          <w:sz w:val="26"/>
        </w:rPr>
        <w:t>Hướng NC tiếp theo</w:t>
      </w:r>
    </w:p>
    <w:p>
      <w:r>
        <w:rPr>
          <w:rFonts w:ascii="Times New Roman" w:hAnsi="Times New Roman"/>
          <w:b w:val="0"/>
          <w:color w:val="FF0000"/>
          <w:sz w:val="24"/>
        </w:rPr>
        <w:t>NC tương tự với GAD-7/DASS-21 bên cạnh SDQ. Hồi quy đa biến xác định yếu tố ĐỘC LẬP. Đánh giá Chương trình Y tế Trường học 2021–2025 MOET. Mở rộng: TPHCM, trường tư. Kết hợp UNICEF + V-NAMHS + VN21 + Hoa 2024 cho bức tranh toàn diện nhất.</w:t>
      </w:r>
    </w:p>
    <w:p>
      <w:r>
        <w:rPr>
          <w:rFonts w:ascii="Times New Roman" w:hAnsi="Times New Roman"/>
          <w:b/>
          <w:i w:val="0"/>
          <w:sz w:val="24"/>
        </w:rPr>
        <w:t>Đánh giá: ⭐⭐⭐⭐ Cao. UNICEF+MOET, mixed methods 5 tỉnh, SDQ+ESSA, 118 trang. NC toàn diện nhất về yếu tố trường học VN.</w:t>
      </w:r>
    </w:p>
    <w:p/>
    <w:p>
      <w:pPr>
        <w:spacing w:line="360" w:lineRule="auto"/>
      </w:pPr>
      <w:r>
        <w:rPr>
          <w:rFonts w:ascii="Times New Roman" w:hAnsi="Times New Roman"/>
          <w:b/>
          <w:sz w:val="26"/>
        </w:rPr>
        <w:t>Tham khao</w:t>
      </w:r>
    </w:p>
    <w:p>
      <w:pPr>
        <w:spacing w:line="360" w:lineRule="auto"/>
      </w:pPr>
      <w:r>
        <w:rPr>
          <w:rFonts w:ascii="Times New Roman" w:hAnsi="Times New Roman"/>
          <w:sz w:val="24"/>
        </w:rPr>
        <w:t>UNICEF &amp; VN (2022).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02_Papers-goc/Viet-Nam/VN022_UNICEF_VN_2022_SchoolFactors.pdf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