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VN24 — Sức khoẻ tâm thần học sinh THPT tại Vĩnh Long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"Trầm cảm và các yếu tố liên quan ở học sinh trung học phổ thông tại tỉnh Vĩnh Long" của Nguyễn Thanh Truyền và cộng sự (2024), đăng trên Tạp chí Y học Việt Nam. Mẫu nghiên cứu là 919 học sinh THPT tại Vĩnh Long, sử dụng thang CES-D (Center for Epidemiologic Studies Depression) và ESSA (Educational Stress Scale for Adolescents).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Thiết kế cắt ngang trên 919 học sinh THPT tại Vĩnh Long. Công cụ: CES-D đo trầm cảm + ESSA đo căng thẳng học tập. Phỏng vấn trực tiếp tại trường. Phân tích mô tả + chi-square + hồi quy logistic đa biến.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 trầm cảm (CES-D ≥ 16) là 12,2 % — tương đối thấp so với các nghiên cứu khác tại Việt Nam. Các yếu tố nguy cơ liên quan có ý nghĩa: nghiện rượu, áp lực học tập cao theo thang ESSA, gia đình mâu thuẫn, sống xa cha mẹ. Nữ có tỷ lệ cao hơn nam.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Mẫu khá lớn n = 919, nhưng chỉ tại 1 tỉnh ĐBSCL — không đại diện toàn Việt Nam. Sử dụng CES-D đo TRẦM CẢM (không đo lo âu trực tiếp) — bài này phù hợp đối chiếu hơn là can thiệp trực tiếp lo âu. Tỷ lệ 12,2 % thấp có thể do cut-off CES-D ≥ 16 (nghiêm ngặt) hoặc do mẫu Vĩnh Long ít chịu áp lực thi đại học hơn các tỉnh đô thị. Không có so sánh trước-sau, không có nhóm chứng.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Cần bổ sung thang đo lo âu (GAD-7 hoặc DASS-21) để có bức tranh toàn diện. So sánh đa vùng (đô thị vs nông thôn). Nghiên cứu dọc theo nhóm có nguy cơ cao (nghiện rượu, gia đình mâu thuẫn).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 Trung bình–Khá. Mẫu khá, tạp chí trong nước, hữu ích cho dữ liệu vùng ĐBSCL.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NguyenThanhTruyen VinhLong YHVN (2024).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02_Papers-goc/Viet-Nam/VN024_NguyenThanhTruyen_VinhLong_YHVN_2024.pdf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