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Tóm tắt bài VN25 — Sức khoẻ tâm thần học sinh THPT + GDNN-GDTX huyện Vĩnh Bảo, Hải Phòng 2023</w:t>
      </w:r>
    </w:p>
    <w:p>
      <w:pPr>
        <w:jc w:val="both"/>
      </w:pPr>
      <w:r>
        <w:rPr>
          <w:rFonts w:ascii="Times New Roman" w:hAnsi="Times New Roman"/>
          <w:b/>
          <w:i w:val="0"/>
          <w:sz w:val="24"/>
        </w:rPr>
        <w:t>Tên công trình, tác giả, năm, mẫu khảo sát, đối tượng, khách thể, địa bàn khảo sát</w:t>
      </w:r>
    </w:p>
    <w:p>
      <w:pPr>
        <w:jc w:val="both"/>
      </w:pPr>
      <w:r>
        <w:rPr>
          <w:rFonts w:ascii="Times New Roman" w:hAnsi="Times New Roman"/>
          <w:b w:val="0"/>
          <w:i w:val="0"/>
          <w:sz w:val="24"/>
        </w:rPr>
        <w:t>Công trình "Thực trạng sức khoẻ tâm thần và một số yếu tố liên quan của học sinh tại 2 trường trung học phổ thông huyện Vĩnh Bảo, Hải Phòng năm 2023" của Phạm Thị Ngọc, Hoàng Thị Giang, Phạm Khánh Linh, Vũ Thị Châu (2024), đăng trên Tạp chí Y học Dự phòng Việt Nam, tập 34, số 1 Phụ bản — 2024, trang 115. Đơn vị chính: Trường Đại học Y Dược Hải Phòng. Khách thể: 420 học sinh tại 2 cơ sở giáo dục ở huyện Vĩnh Bảo, Hải Phòng — (1) THPT Cộng Hiền và (2) Trung tâm Giáo dục nghề nghiệp – Giáo dục thường xuyên (GDNN-GDTX) Vĩnh Bảo. Thời gian khảo sát: từ tháng 10/2022 đến tháng 05/2023. Ngày nhận bài: 26/01/2024; Ngày đăng: 12/04/2024.</w:t>
      </w:r>
    </w:p>
    <w:p>
      <w:pPr>
        <w:pStyle w:val="Heading2"/>
      </w:pPr>
      <w:r>
        <w:rPr>
          <w:rFonts w:ascii="Times New Roman" w:hAnsi="Times New Roman"/>
          <w:color w:val="000000"/>
        </w:rPr>
        <w:t>Phương pháp nghiên cứu</w:t>
      </w:r>
    </w:p>
    <w:p>
      <w:pPr>
        <w:jc w:val="both"/>
      </w:pPr>
      <w:r>
        <w:rPr>
          <w:rFonts w:ascii="Times New Roman" w:hAnsi="Times New Roman"/>
          <w:b w:val="0"/>
          <w:i w:val="0"/>
          <w:sz w:val="24"/>
        </w:rPr>
        <w:t>Thiết kế cắt ngang mô tả. Công cụ: DASS-21 phiên bản tiếng Việt đo cả 3 trục (trầm cảm, lo âu, căng thẳng) + bảng hỏi nhân khẩu học và các yếu tố nguy cơ (giới tính, quan hệ bạn bè, áp lực học tập và thi cử, kỳ vọng gia đình, mâu thuẫn gia đình, bạo lực học đường). Phân tích chi-square + hồi quy logistic đa biến.</w:t>
      </w:r>
    </w:p>
    <w:p>
      <w:pPr>
        <w:pStyle w:val="Heading2"/>
      </w:pPr>
      <w:r>
        <w:rPr>
          <w:rFonts w:ascii="Times New Roman" w:hAnsi="Times New Roman"/>
          <w:color w:val="000000"/>
        </w:rPr>
        <w:t>Kết quả nghiên cứu</w:t>
      </w:r>
    </w:p>
    <w:tbl>
      <w:tblPr>
        <w:tblStyle w:val="TableGrid"/>
        <w:tblW w:type="auto" w:w="0"/>
        <w:jc w:val="center"/>
        <w:tblLook w:firstColumn="1" w:firstRow="1" w:lastColumn="0" w:lastRow="0" w:noHBand="0" w:noVBand="1" w:val="04A0"/>
        <w:tblLayout w:type="fixed"/>
      </w:tblPr>
      <w:tblGrid>
        <w:gridCol w:w="2835"/>
        <w:gridCol w:w="2835"/>
        <w:gridCol w:w="3118"/>
      </w:tblGrid>
      <w:tr>
        <w:tc>
          <w:tcPr>
            <w:tcW w:w="2835" w:type="dxa"/>
            <w:shd w:fill="D9E2F3" w:val="clear"/>
          </w:tcPr>
          <w:p>
            <w:pPr>
              <w:jc w:val="center"/>
            </w:pPr>
            <w:r>
              <w:rPr>
                <w:rFonts w:ascii="Times New Roman" w:hAnsi="Times New Roman"/>
                <w:b/>
                <w:sz w:val="20"/>
              </w:rPr>
              <w:t>Rối loạn</w:t>
            </w:r>
          </w:p>
        </w:tc>
        <w:tc>
          <w:tcPr>
            <w:tcW w:w="2835" w:type="dxa"/>
            <w:shd w:fill="D9E2F3" w:val="clear"/>
          </w:tcPr>
          <w:p>
            <w:pPr>
              <w:jc w:val="center"/>
            </w:pPr>
            <w:r>
              <w:rPr>
                <w:rFonts w:ascii="Times New Roman" w:hAnsi="Times New Roman"/>
                <w:b/>
                <w:sz w:val="20"/>
              </w:rPr>
              <w:t>THPT Cộng Hiền</w:t>
            </w:r>
          </w:p>
        </w:tc>
        <w:tc>
          <w:tcPr>
            <w:tcW w:w="3118" w:type="dxa"/>
            <w:shd w:fill="D9E2F3" w:val="clear"/>
          </w:tcPr>
          <w:p>
            <w:pPr>
              <w:jc w:val="center"/>
            </w:pPr>
            <w:r>
              <w:rPr>
                <w:rFonts w:ascii="Times New Roman" w:hAnsi="Times New Roman"/>
                <w:b/>
                <w:sz w:val="20"/>
              </w:rPr>
              <w:t>GDNN-GDTX Vĩnh Bảo</w:t>
            </w:r>
          </w:p>
        </w:tc>
      </w:tr>
      <w:tr>
        <w:tc>
          <w:tcPr>
            <w:tcW w:w="2835" w:type="dxa"/>
          </w:tcPr>
          <w:p>
            <w:r>
              <w:rPr>
                <w:rFonts w:ascii="Times New Roman" w:hAnsi="Times New Roman"/>
                <w:sz w:val="20"/>
              </w:rPr>
              <w:t>Trầm cảm</w:t>
            </w:r>
          </w:p>
        </w:tc>
        <w:tc>
          <w:tcPr>
            <w:tcW w:w="2835" w:type="dxa"/>
          </w:tcPr>
          <w:p>
            <w:r>
              <w:rPr>
                <w:rFonts w:ascii="Times New Roman" w:hAnsi="Times New Roman"/>
                <w:sz w:val="20"/>
              </w:rPr>
              <w:t>42,38 %</w:t>
            </w:r>
          </w:p>
        </w:tc>
        <w:tc>
          <w:tcPr>
            <w:tcW w:w="3118" w:type="dxa"/>
          </w:tcPr>
          <w:p>
            <w:r>
              <w:rPr>
                <w:rFonts w:ascii="Times New Roman" w:hAnsi="Times New Roman"/>
                <w:sz w:val="20"/>
              </w:rPr>
              <w:t>32,38 %</w:t>
            </w:r>
          </w:p>
        </w:tc>
      </w:tr>
      <w:tr>
        <w:tc>
          <w:tcPr>
            <w:tcW w:w="2835" w:type="dxa"/>
          </w:tcPr>
          <w:p>
            <w:r>
              <w:rPr>
                <w:rFonts w:ascii="Times New Roman" w:hAnsi="Times New Roman"/>
                <w:sz w:val="20"/>
              </w:rPr>
              <w:t>Lo âu</w:t>
            </w:r>
          </w:p>
        </w:tc>
        <w:tc>
          <w:tcPr>
            <w:tcW w:w="2835" w:type="dxa"/>
          </w:tcPr>
          <w:p>
            <w:r>
              <w:rPr>
                <w:rFonts w:ascii="Times New Roman" w:hAnsi="Times New Roman"/>
                <w:sz w:val="20"/>
              </w:rPr>
              <w:t>53,81 %</w:t>
            </w:r>
          </w:p>
        </w:tc>
        <w:tc>
          <w:tcPr>
            <w:tcW w:w="3118" w:type="dxa"/>
          </w:tcPr>
          <w:p>
            <w:r>
              <w:rPr>
                <w:rFonts w:ascii="Times New Roman" w:hAnsi="Times New Roman"/>
                <w:sz w:val="20"/>
              </w:rPr>
              <w:t>43,33 %</w:t>
            </w:r>
          </w:p>
        </w:tc>
      </w:tr>
      <w:tr>
        <w:tc>
          <w:tcPr>
            <w:tcW w:w="2835" w:type="dxa"/>
          </w:tcPr>
          <w:p>
            <w:r>
              <w:rPr>
                <w:rFonts w:ascii="Times New Roman" w:hAnsi="Times New Roman"/>
                <w:sz w:val="20"/>
              </w:rPr>
              <w:t>Căng thẳng</w:t>
            </w:r>
          </w:p>
        </w:tc>
        <w:tc>
          <w:tcPr>
            <w:tcW w:w="2835" w:type="dxa"/>
          </w:tcPr>
          <w:p>
            <w:r>
              <w:rPr>
                <w:rFonts w:ascii="Times New Roman" w:hAnsi="Times New Roman"/>
                <w:sz w:val="20"/>
              </w:rPr>
              <w:t>49,05 %</w:t>
            </w:r>
          </w:p>
        </w:tc>
        <w:tc>
          <w:tcPr>
            <w:tcW w:w="3118" w:type="dxa"/>
          </w:tcPr>
          <w:p>
            <w:r>
              <w:rPr>
                <w:rFonts w:ascii="Times New Roman" w:hAnsi="Times New Roman"/>
                <w:sz w:val="20"/>
              </w:rPr>
              <w:t>28,57 %</w:t>
            </w:r>
          </w:p>
        </w:tc>
      </w:tr>
    </w:tbl>
    <w:p>
      <w:pPr>
        <w:jc w:val="both"/>
      </w:pPr>
      <w:r>
        <w:rPr>
          <w:rFonts w:ascii="Times New Roman" w:hAnsi="Times New Roman"/>
          <w:b w:val="0"/>
          <w:i/>
          <w:sz w:val="24"/>
        </w:rPr>
        <w:t>LƯU Ý — Tỷ lệ lo âu CAO HƠN đáng kể so với Hà Nội (Hoa 2024: 40,6 %) và Trung Quốc (Dong 2025: 41,4 %). Tỷ lệ ở THPT chính quy (Cộng Hiền 53,81 %) cao hơn ở GDNN-GDTX (Vĩnh Bảo 43,33 %), gợi ý áp lực học thuật đóng vai trò quan trọng.</w:t>
      </w:r>
    </w:p>
    <w:p>
      <w:pPr>
        <w:jc w:val="both"/>
      </w:pPr>
      <w:r>
        <w:rPr>
          <w:rFonts w:ascii="Times New Roman" w:hAnsi="Times New Roman"/>
          <w:b/>
          <w:i w:val="0"/>
          <w:sz w:val="24"/>
        </w:rPr>
        <w:t>Các yếu tố nguy cơ có ý nghĩa thống kê:</w:t>
      </w:r>
    </w:p>
    <w:p>
      <w:pPr>
        <w:jc w:val="both"/>
      </w:pPr>
      <w:r>
        <w:rPr>
          <w:rFonts w:ascii="Times New Roman" w:hAnsi="Times New Roman"/>
          <w:b w:val="0"/>
          <w:i w:val="0"/>
          <w:sz w:val="24"/>
        </w:rPr>
        <w:t>• Trầm cảm: giới nữ, không có mối quan hệ hoà đồng với bạn bè.</w:t>
      </w:r>
    </w:p>
    <w:p>
      <w:pPr>
        <w:jc w:val="both"/>
      </w:pPr>
      <w:r>
        <w:rPr>
          <w:rFonts w:ascii="Times New Roman" w:hAnsi="Times New Roman"/>
          <w:b w:val="0"/>
          <w:i w:val="0"/>
          <w:sz w:val="24"/>
        </w:rPr>
        <w:t>• Lo âu: áp lực cao với học tập và thi cử, không có mối quan hệ hoà đồng với bạn bè, bị bạo lực học đường.</w:t>
      </w:r>
    </w:p>
    <w:p>
      <w:pPr>
        <w:jc w:val="both"/>
      </w:pPr>
      <w:r>
        <w:rPr>
          <w:rFonts w:ascii="Times New Roman" w:hAnsi="Times New Roman"/>
          <w:b w:val="0"/>
          <w:i w:val="0"/>
          <w:sz w:val="24"/>
        </w:rPr>
        <w:t>• Căng thẳng (riêng HS THPT Cộng Hiền): áp lực cao với kỳ vọng gia đình, gia đình mâu thuẫn.</w:t>
      </w:r>
    </w:p>
    <w:p>
      <w:pPr>
        <w:pStyle w:val="Heading2"/>
      </w:pPr>
      <w:r>
        <w:rPr>
          <w:rFonts w:ascii="Times New Roman" w:hAnsi="Times New Roman"/>
          <w:color w:val="000000"/>
        </w:rPr>
        <w:t>Phản biện</w:t>
      </w:r>
    </w:p>
    <w:p>
      <w:pPr>
        <w:jc w:val="both"/>
      </w:pPr>
      <w:r>
        <w:rPr>
          <w:rFonts w:ascii="Times New Roman" w:hAnsi="Times New Roman"/>
          <w:b w:val="0"/>
          <w:i w:val="0"/>
          <w:sz w:val="24"/>
        </w:rPr>
        <w:t>Điểm mạnh: Mẫu 420 HS từ 2 cơ sở giáo dục — đặc biệt bao gồm cả GDNN-GDTX (đối tượng ít được nghiên cứu). Sử dụng DASS-21 đo cả 3 trục — phù hợp so sánh trực tiếp với Dong 2025 (TQ) và VN29 Duong 2025 TPHCM. Tỷ lệ lo âu ở Cộng Hiền (53,81 %) thuộc nhóm cao nhất VN, gần với Long An (57,2 %) và cao hơn Hà Nội (40,6 %). Phân biệt rõ THPT chính quy vs GDNN-GDTX là đóng góp quan trọng.</w:t>
      </w:r>
    </w:p>
    <w:p>
      <w:pPr>
        <w:jc w:val="both"/>
      </w:pPr>
      <w:r>
        <w:rPr>
          <w:rFonts w:ascii="Times New Roman" w:hAnsi="Times New Roman"/>
          <w:b w:val="0"/>
          <w:i w:val="0"/>
          <w:sz w:val="24"/>
        </w:rPr>
        <w:t>Hạn chế: Chỉ 1 huyện (Vĩnh Bảo) của Hải Phòng — không đại diện toàn thành phố. Mẫu thuận tiện tại 2 cơ sở, không ngẫu nhiên. Cắt ngang không kết luận nhân quả. Các yếu tố nguy cơ chỉ phân tích riêng cho HS Cộng Hiền ở phần căng thẳng — thiếu so sánh trực tiếp giữa 2 cơ sở.</w:t>
      </w:r>
    </w:p>
    <w:p>
      <w:pPr>
        <w:pStyle w:val="Heading2"/>
      </w:pPr>
      <w:r>
        <w:rPr>
          <w:rFonts w:ascii="Times New Roman" w:hAnsi="Times New Roman"/>
          <w:color w:val="000000"/>
        </w:rPr>
        <w:t>Hướng nghiên cứu tiếp theo</w:t>
      </w:r>
    </w:p>
    <w:p>
      <w:pPr>
        <w:jc w:val="both"/>
      </w:pPr>
      <w:r>
        <w:rPr>
          <w:rFonts w:ascii="Times New Roman" w:hAnsi="Times New Roman"/>
          <w:b w:val="0"/>
          <w:i w:val="0"/>
          <w:sz w:val="24"/>
        </w:rPr>
        <w:t>Mở rộng ra nhiều huyện của Hải Phòng. So sánh đa thành phố (Hải Phòng vs Hà Nội vs TPHCM) bằng cùng DASS-21. NC dọc theo dõi cùng nhóm 2-3 năm. Phân tích sâu sự khác biệt giữa THPT chính quy và GDNN-GDTX để có can thiệp phù hợp từng nhóm.</w:t>
      </w:r>
    </w:p>
    <w:p>
      <w:pPr>
        <w:jc w:val="both"/>
      </w:pPr>
      <w:r>
        <w:rPr>
          <w:rFonts w:ascii="Times New Roman" w:hAnsi="Times New Roman"/>
          <w:b/>
          <w:i w:val="0"/>
          <w:sz w:val="24"/>
        </w:rPr>
        <w:t>Đánh giá chất lượng: ⭐⭐⭐ Trung bình–Khá. Tạp chí trong nước, mẫu vừa, DASS-21 tiếng Việt, phát hiện phân biệt 2 loại cơ sở có giá trị.</w:t>
      </w:r>
    </w:p>
    <w:p/>
    <w:p>
      <w:pPr>
        <w:spacing w:line="360" w:lineRule="auto"/>
      </w:pPr>
      <w:r>
        <w:rPr>
          <w:rFonts w:ascii="Times New Roman" w:hAnsi="Times New Roman"/>
          <w:b/>
          <w:sz w:val="26"/>
        </w:rPr>
        <w:t>Tham khao</w:t>
      </w:r>
    </w:p>
    <w:p>
      <w:pPr>
        <w:spacing w:line="360" w:lineRule="auto"/>
      </w:pPr>
      <w:r>
        <w:rPr>
          <w:rFonts w:ascii="Times New Roman" w:hAnsi="Times New Roman"/>
          <w:sz w:val="24"/>
        </w:rPr>
        <w:t>PhamThiNgoc HaiPhong VinhBao (2024). [Tieu de bai bao: [khong co trong canonical]]. [Tap chi/Nguon: [khong co trong canonical]], [vol/issue/pages: [khong co trong canonical]].</w:t>
      </w:r>
    </w:p>
    <w:p>
      <w:pPr>
        <w:spacing w:line="360" w:lineRule="auto"/>
      </w:pPr>
      <w:r>
        <w:rPr>
          <w:rFonts w:ascii="Times New Roman" w:hAnsi="Times New Roman"/>
          <w:sz w:val="24"/>
        </w:rPr>
        <w:t>PDF path: 02_Papers-goc/Viet-Nam/VN025_PhamThiNgoc_HaiPhong_VinhBao_2024.pdf</w:t>
      </w:r>
    </w:p>
    <w:p>
      <w:pPr>
        <w:spacing w:line="360" w:lineRule="auto"/>
      </w:pPr>
      <w:r>
        <w:rPr>
          <w:rFonts w:ascii="Times New Roman" w:hAnsi="Times New Roman"/>
          <w:sz w:val="24"/>
        </w:rPr>
        <w:t>DOI: [khong co trong canonical] | PMID: [khong co trong canonical]</w:t>
      </w:r>
    </w:p>
    <w:p/>
    <w:p>
      <w:pPr>
        <w:spacing w:line="360" w:lineRule="auto"/>
      </w:pPr>
      <w:r>
        <w:rPr>
          <w:rFonts w:ascii="Times New Roman" w:hAnsi="Times New Roman"/>
          <w:sz w:val="24"/>
        </w:rPr>
        <w:t>Bo sung Tham khao 07/06/2026 (auto-fill tu canonical_index)</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cp:coreProperties>
</file>