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VN26 — Lo âu ở học sinh THPT tại Long An</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về thực trạng lo âu ở học sinh THPT tại tỉnh Long An (Đồng bằng sông Cửu Long), đăng trên Tạp chí Y học Việt Nam (VJOL) năm 2025. Khảo sát học sinh THPT tại Long An.</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Cắt ngang trên học sinh THPT các trường tại Long An. Sử dụng thang đo lo âu (DASS-21 hoặc tương đương) phiên bản tiếng Việt. Bảng hỏi nhân khẩu học và yếu tố liên quan.</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Tỷ lệ lo âu là 57,2 % — CAO NHẤT trong số các nghiên cứu lo âu HS THPT tại Việt Nam được hệ thống tổng hợp đến thời điểm hiện tại. Tỷ lệ này cao hơn rõ rệt so với Hà Nội (Hoa 2024: 40,6 %), Hải Phòng (39,3 %), Huế (Trần Thảo Vi 2024: ~ 30–40 %). Yếu tố nguy cơ: nữ giới, áp lực thi đại học, mâu thuẫn gia đình, lạm dụng MXH.</w:t>
      </w:r>
    </w:p>
    <w:p>
      <w:pPr>
        <w:pStyle w:val="Heading2"/>
      </w:pPr>
      <w:r>
        <w:rPr>
          <w:rFonts w:ascii="Times New Roman" w:hAnsi="Times New Roman"/>
          <w:color w:val="000000"/>
        </w:rPr>
        <w:t>Phản biện</w:t>
      </w:r>
    </w:p>
    <w:p>
      <w:pPr>
        <w:jc w:val="both"/>
      </w:pPr>
      <w:r>
        <w:rPr>
          <w:rFonts w:ascii="Times New Roman" w:hAnsi="Times New Roman"/>
          <w:b w:val="0"/>
          <w:i w:val="0"/>
          <w:sz w:val="24"/>
        </w:rPr>
        <w:t>Tỷ lệ 57,2 % là CAO BẤT THƯỜNG so với các vùng khác — cần giải thích. Có thể do: (1) cut-off thấp; (2) đặc thù vùng (Long An giáp TPHCM, áp lực thi vào ĐH cao); (3) thiên lệch chọn mẫu; (4) ảnh hưởng còn lại của COVID-19. Tạp chí trong nước, mẫu cắt ngang, không có nhóm chứng. Cần đối chiếu với phương pháp đo cụ thể.</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So sánh trực tiếp với các tỉnh ĐBSCL khác bằng cùng công cụ. Phân tích yếu tố vùng đặc thù. Cần điều tra lý do tỷ lệ cao bất thường: định lượng + định tính.</w:t>
      </w:r>
    </w:p>
    <w:p>
      <w:pPr>
        <w:jc w:val="both"/>
      </w:pPr>
      <w:r>
        <w:rPr>
          <w:rFonts w:ascii="Times New Roman" w:hAnsi="Times New Roman"/>
          <w:b/>
          <w:i w:val="0"/>
          <w:sz w:val="24"/>
        </w:rPr>
        <w:t>Đánh giá chất lượng: ⭐⭐⭐ Trung bình. Có giá trị dữ liệu vùng, nhưng cần cẩn trọng diễn giải tỷ lệ cao.</w:t>
      </w:r>
    </w:p>
    <w:p/>
    <w:p>
      <w:pPr>
        <w:spacing w:line="360" w:lineRule="auto"/>
      </w:pPr>
      <w:r>
        <w:rPr>
          <w:rFonts w:ascii="Times New Roman" w:hAnsi="Times New Roman"/>
          <w:b/>
          <w:sz w:val="26"/>
        </w:rPr>
        <w:t>Tham khao</w:t>
      </w:r>
    </w:p>
    <w:p>
      <w:pPr>
        <w:spacing w:line="360" w:lineRule="auto"/>
      </w:pPr>
      <w:r>
        <w:rPr>
          <w:rFonts w:ascii="Times New Roman" w:hAnsi="Times New Roman"/>
          <w:sz w:val="24"/>
        </w:rPr>
        <w:t>TranDucSi LongAn PNT (2025).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02_Papers-goc/Viet-Nam/VN026_TranDucSi_LongAn_PNT_2025.pdf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