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VN27 — Yếu tố trường học liên quan lo âu HS THCS Việt Nam</w:t>
      </w:r>
    </w:p>
    <w:p>
      <w:pPr>
        <w:jc w:val="both"/>
      </w:pPr>
      <w:r>
        <w:rPr>
          <w:rFonts w:ascii="Times New Roman" w:hAnsi="Times New Roman"/>
          <w:b/>
          <w:i w:val="0"/>
          <w:sz w:val="24"/>
        </w:rPr>
        <w:t>Tên công trình, tác giả, năm, mẫu khảo sát, đối tượng, khách thể, địa bàn khảo sát</w:t>
      </w:r>
    </w:p>
    <w:p>
      <w:pPr>
        <w:jc w:val="both"/>
      </w:pPr>
      <w:r>
        <w:rPr>
          <w:rFonts w:ascii="Times New Roman" w:hAnsi="Times New Roman"/>
          <w:b w:val="0"/>
          <w:i w:val="0"/>
          <w:sz w:val="24"/>
        </w:rPr>
        <w:t>Công trình "School factors causing Vietnamese adolescents anxiety" của Dinh và cộng sự (2021), đăng trên ResearchGate năm 2021. Khảo sát các yếu tố trường học liên quan lo âu ở HS THCS Việt Nam.</w:t>
      </w:r>
    </w:p>
    <w:p>
      <w:pPr>
        <w:pStyle w:val="Heading2"/>
      </w:pPr>
      <w:r>
        <w:rPr>
          <w:rFonts w:ascii="Times New Roman" w:hAnsi="Times New Roman"/>
          <w:color w:val="000000"/>
        </w:rPr>
        <w:t>Phương pháp nghiên cứu</w:t>
      </w:r>
    </w:p>
    <w:p>
      <w:pPr>
        <w:jc w:val="both"/>
      </w:pPr>
      <w:r>
        <w:rPr>
          <w:rFonts w:ascii="Times New Roman" w:hAnsi="Times New Roman"/>
          <w:b w:val="0"/>
          <w:i w:val="0"/>
          <w:sz w:val="24"/>
        </w:rPr>
        <w:t>Cắt ngang trên HS THCS tại Việt Nam. Sử dụng bảng hỏi về yếu tố trường (áp lực học tập, mối quan hệ với GV và bạn bè, môi trường lớp học, ...) và thang đo lo âu. Phân tích hồi quy đa biến.</w:t>
      </w:r>
    </w:p>
    <w:p>
      <w:pPr>
        <w:pStyle w:val="Heading2"/>
      </w:pPr>
      <w:r>
        <w:rPr>
          <w:rFonts w:ascii="Times New Roman" w:hAnsi="Times New Roman"/>
          <w:color w:val="000000"/>
        </w:rPr>
        <w:t>Kết quả nghiên cứu</w:t>
      </w:r>
    </w:p>
    <w:p>
      <w:pPr>
        <w:jc w:val="both"/>
      </w:pPr>
      <w:r>
        <w:rPr>
          <w:rFonts w:ascii="Times New Roman" w:hAnsi="Times New Roman"/>
          <w:b w:val="0"/>
          <w:i w:val="0"/>
          <w:sz w:val="24"/>
        </w:rPr>
        <w:t>Các yếu tố trường học có liên quan có ý nghĩa với lo âu HS THCS Việt Nam: áp lực học tập, kỳ vọng từ GV, mối quan hệ tiêu cực với bạn bè (bạo lực học đường, bắt nạt), khối lượng bài tập về nhà nhiều, ít thời gian nghỉ ngơi.</w:t>
      </w:r>
    </w:p>
    <w:p>
      <w:pPr>
        <w:pStyle w:val="Heading2"/>
      </w:pPr>
      <w:r>
        <w:rPr>
          <w:rFonts w:ascii="Times New Roman" w:hAnsi="Times New Roman"/>
          <w:color w:val="000000"/>
        </w:rPr>
        <w:t>Phản biện</w:t>
      </w:r>
    </w:p>
    <w:p>
      <w:pPr>
        <w:jc w:val="both"/>
      </w:pPr>
      <w:r>
        <w:rPr>
          <w:rFonts w:ascii="Times New Roman" w:hAnsi="Times New Roman"/>
          <w:b w:val="0"/>
          <w:i w:val="0"/>
          <w:sz w:val="24"/>
        </w:rPr>
        <w:t>Bài đăng trên ResearchGate (preprint hoặc tạp chí trong nước), không phải tạp chí Q1. Cung cấp dữ liệu định lượng về yếu tố trường học cụ thể tại VN — bổ sung cho UNICEF VN22 (School Factors). Hạn chế: không phải peer-review cấp cao, có thể có sai lệch chọn mẫu, không có thông tin chi tiết về cỡ mẫu và công cụ trong bài tóm lược.</w:t>
      </w:r>
    </w:p>
    <w:p>
      <w:pPr>
        <w:pStyle w:val="Heading2"/>
      </w:pPr>
      <w:r>
        <w:rPr>
          <w:rFonts w:ascii="Times New Roman" w:hAnsi="Times New Roman"/>
          <w:color w:val="000000"/>
        </w:rPr>
        <w:t>Hướng nghiên cứu tiếp theo</w:t>
      </w:r>
    </w:p>
    <w:p>
      <w:pPr>
        <w:jc w:val="both"/>
      </w:pPr>
      <w:r>
        <w:rPr>
          <w:rFonts w:ascii="Times New Roman" w:hAnsi="Times New Roman"/>
          <w:b w:val="0"/>
          <w:i w:val="0"/>
          <w:sz w:val="24"/>
        </w:rPr>
        <w:t>Lặp lại với mẫu lớn, công cụ chuẩn (DASS-Y hoặc GAD-7), đăng tạp chí Q1/Q2. Phân tích mediation: yếu tố trường → cơ chế tâm lý → lo âu.</w:t>
      </w:r>
    </w:p>
    <w:p>
      <w:pPr>
        <w:jc w:val="both"/>
      </w:pPr>
      <w:r>
        <w:rPr>
          <w:rFonts w:ascii="Times New Roman" w:hAnsi="Times New Roman"/>
          <w:b/>
          <w:i w:val="0"/>
          <w:sz w:val="24"/>
        </w:rPr>
        <w:t>Đánh giá chất lượng: ⭐⭐⭐ Trung bình. Có giá trị bổ sung dữ liệu trường học VN.</w:t>
      </w:r>
    </w:p>
    <w:p/>
    <w:p>
      <w:pPr>
        <w:spacing w:line="360" w:lineRule="auto"/>
      </w:pPr>
      <w:r>
        <w:rPr>
          <w:rFonts w:ascii="Times New Roman" w:hAnsi="Times New Roman"/>
          <w:b/>
          <w:sz w:val="26"/>
        </w:rPr>
        <w:t>Tham khao</w:t>
      </w:r>
    </w:p>
    <w:p>
      <w:pPr>
        <w:spacing w:line="360" w:lineRule="auto"/>
      </w:pPr>
      <w:r>
        <w:rPr>
          <w:rFonts w:ascii="Times New Roman" w:hAnsi="Times New Roman"/>
          <w:sz w:val="24"/>
        </w:rPr>
        <w:t>Dinh SchoolFactors VN (2021). [Tieu de bai bao: [khong co trong canonical]]. [Tap chi/Nguon: [khong co trong canonical]], [vol/issue/pages: [khong co trong canonical]].</w:t>
      </w:r>
    </w:p>
    <w:p>
      <w:pPr>
        <w:spacing w:line="360" w:lineRule="auto"/>
      </w:pPr>
      <w:r>
        <w:rPr>
          <w:rFonts w:ascii="Times New Roman" w:hAnsi="Times New Roman"/>
          <w:sz w:val="24"/>
        </w:rPr>
        <w:t>PDF path: 02_Papers-goc/Viet-Nam/VN027_Dinh_SchoolFactors_VN_2021.pdf</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