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Journal of Psychopathology and Behavioral Assessment OR BMC Psychiatry</w:t>
        <w:br/>
        <w:t>Bản thảo đầy đủ song ngữ Anh-Việt phiên bản 1 — soạn 08/06/2026 (kế hoạch nộp 2027)</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We anticipate identifying 4-5 distinct anxiety phenotype profiles. Based on prior LPA studies of adolescent anxiety in other countries and our preliminary visual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hiện tại.</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p>
      <w:pPr>
        <w:spacing w:before="400"/>
        <w:jc w:val="center"/>
      </w:pPr>
      <w:r>
        <w:rPr>
          <w:rFonts w:ascii="Times New Roman" w:hAnsi="Times New Roman"/>
          <w:i/>
          <w:color w:val="808080"/>
          <w:sz w:val="20"/>
        </w:rPr>
        <w:t>Soạn 08/06/2026 — Bản thảo đầy đủ Q4 phiên bản 1 — kế hoạch nộp 2027 (sau khi Q2 + Q3 đã công bố)</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