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252"/>
        <w:gridCol w:w="4252"/>
      </w:tblGrid>
      <w:tr>
        <w:tc>
          <w:tcPr>
            <w:tcW w:type="dxa" w:w="5071"/>
          </w:tcPr>
          <w:p>
            <w:pPr>
              <w:spacing w:after="40"/>
              <w:jc w:val="center"/>
            </w:pPr>
            <w:r>
              <w:rPr>
                <w:rFonts w:ascii="Times New Roman" w:hAnsi="Times New Roman"/>
                <w:b/>
                <w:sz w:val="22"/>
              </w:rPr>
              <w:t>BỘ GIÁO DỤC VÀ ĐÀO TẠO</w:t>
            </w:r>
          </w:p>
          <w:p>
            <w:pPr>
              <w:spacing w:after="40"/>
              <w:jc w:val="center"/>
            </w:pPr>
            <w:r>
              <w:rPr>
                <w:rFonts w:ascii="Times New Roman" w:hAnsi="Times New Roman"/>
                <w:b/>
                <w:sz w:val="22"/>
              </w:rPr>
              <w:t>TRƯỜNG ĐẠI HỌC SƯ PHẠM HÀ NỘI</w:t>
            </w:r>
          </w:p>
          <w:p>
            <w:pPr>
              <w:spacing w:after="40"/>
              <w:jc w:val="center"/>
            </w:pPr>
            <w:r>
              <w:rPr>
                <w:rFonts w:ascii="Times New Roman" w:hAnsi="Times New Roman"/>
                <w:sz w:val="22"/>
              </w:rPr>
              <w:t>—————</w:t>
            </w:r>
          </w:p>
          <w:p>
            <w:pPr>
              <w:spacing w:after="40"/>
              <w:jc w:val="center"/>
            </w:pPr>
            <w:r>
              <w:rPr>
                <w:rFonts w:ascii="Times New Roman" w:hAnsi="Times New Roman"/>
                <w:b/>
                <w:sz w:val="22"/>
              </w:rPr>
              <w:t>Hội đồng Đạo đức trong Nghiên cứu Khoa học</w:t>
            </w:r>
          </w:p>
          <w:p>
            <w:pPr>
              <w:jc w:val="center"/>
            </w:pPr>
            <w:r>
              <w:rPr>
                <w:b/>
                <w:sz w:val="22"/>
              </w:rPr>
              <w:t xml:space="preserve">Số: </w:t>
            </w:r>
            <w:r>
              <w:rPr>
                <w:b/>
                <w:color w:val="C00000"/>
                <w:sz w:val="22"/>
              </w:rPr>
              <w:t>[___/QĐ-ĐHSPHN]</w:t>
            </w:r>
          </w:p>
        </w:tc>
        <w:tc>
          <w:tcPr>
            <w:tcW w:type="dxa" w:w="5071"/>
          </w:tcPr>
          <w:p>
            <w:pPr>
              <w:spacing w:after="40"/>
              <w:jc w:val="center"/>
            </w:pPr>
            <w:r>
              <w:rPr>
                <w:rFonts w:ascii="Times New Roman" w:hAnsi="Times New Roman"/>
                <w:b/>
                <w:sz w:val="22"/>
              </w:rPr>
              <w:t>CỘNG HÒA XÃ HỘI CHỦ NGHĨA VIỆT NAM</w:t>
            </w:r>
          </w:p>
          <w:p>
            <w:pPr>
              <w:spacing w:after="40"/>
              <w:jc w:val="center"/>
            </w:pPr>
            <w:r>
              <w:rPr>
                <w:rFonts w:ascii="Times New Roman" w:hAnsi="Times New Roman"/>
                <w:b/>
                <w:sz w:val="22"/>
              </w:rPr>
              <w:t>Độc lập - Tự do - Hạnh phúc</w:t>
            </w:r>
          </w:p>
          <w:p>
            <w:pPr>
              <w:spacing w:after="40"/>
              <w:jc w:val="center"/>
            </w:pPr>
            <w:r>
              <w:rPr>
                <w:rFonts w:ascii="Times New Roman" w:hAnsi="Times New Roman"/>
                <w:sz w:val="22"/>
              </w:rPr>
              <w:t>—————</w:t>
            </w:r>
          </w:p>
          <w:p>
            <w:pPr>
              <w:jc w:val="center"/>
            </w:pPr>
            <w:r>
              <w:rPr>
                <w:i/>
                <w:sz w:val="22"/>
              </w:rPr>
              <w:t xml:space="preserve">Hà Nội, ngày </w:t>
            </w:r>
            <w:r>
              <w:rPr>
                <w:i/>
                <w:color w:val="C00000"/>
                <w:sz w:val="22"/>
              </w:rPr>
              <w:t>[___]</w:t>
            </w:r>
            <w:r>
              <w:rPr>
                <w:i/>
                <w:sz w:val="22"/>
              </w:rPr>
              <w:t xml:space="preserve"> tháng </w:t>
            </w:r>
            <w:r>
              <w:rPr>
                <w:i/>
                <w:color w:val="C00000"/>
                <w:sz w:val="22"/>
              </w:rPr>
              <w:t>[___]</w:t>
            </w:r>
            <w:r>
              <w:rPr>
                <w:i/>
                <w:sz w:val="22"/>
              </w:rPr>
              <w:t xml:space="preserve"> năm 2025</w:t>
            </w:r>
          </w:p>
        </w:tc>
      </w:tr>
    </w:tbl>
    <w:p>
      <w:pPr>
        <w:spacing w:before="280" w:after="120"/>
        <w:jc w:val="center"/>
      </w:pPr>
      <w:r>
        <w:rPr>
          <w:b/>
          <w:sz w:val="28"/>
        </w:rPr>
        <w:t>QUYẾT ĐỊNH</w:t>
      </w:r>
    </w:p>
    <w:p>
      <w:pPr>
        <w:spacing w:after="120"/>
        <w:jc w:val="center"/>
      </w:pPr>
      <w:r>
        <w:rPr>
          <w:i/>
          <w:sz w:val="22"/>
        </w:rPr>
        <w:t>V/v: Phê duyệt phân tích thứ cấp và công bố quốc tế đối với dữ liệu sàng lọc sức khỏe tâm thần học sinh trung học cơ sở</w:t>
      </w:r>
    </w:p>
    <w:p>
      <w:pPr>
        <w:spacing w:before="160" w:after="80"/>
        <w:jc w:val="center"/>
      </w:pPr>
      <w:r>
        <w:rPr>
          <w:b/>
          <w:sz w:val="24"/>
        </w:rPr>
        <w:t>CHỦ TỊCH HỘI ĐỒNG ĐẠO ĐỨC TRONG NGHIÊN CỨU KHOA HỌC</w:t>
      </w:r>
    </w:p>
    <w:p>
      <w:pPr>
        <w:spacing w:after="60"/>
        <w:ind w:firstLine="425"/>
        <w:jc w:val="both"/>
      </w:pPr>
      <w:r>
        <w:rPr>
          <w:i/>
          <w:sz w:val="22"/>
        </w:rPr>
        <w:t>Căn cứ Thông tư số 43/2024/TT-BYT ngày 12/12/2024 của Bộ trưởng Bộ Y tế quy định việc thành lập, tổ chức và hoạt động của Hội đồng Đạo đức trong nghiên cứu y sinh học (áp dụng tham chiếu cho nghiên cứu khoa học giáo dục/tâm lý học);</w:t>
      </w:r>
    </w:p>
    <w:p>
      <w:pPr>
        <w:spacing w:after="60"/>
        <w:ind w:firstLine="425"/>
        <w:jc w:val="both"/>
      </w:pPr>
      <w:r>
        <w:rPr>
          <w:i/>
          <w:sz w:val="22"/>
        </w:rPr>
        <w:t xml:space="preserve">Căn cứ Quyết định số </w:t>
      </w:r>
      <w:r>
        <w:rPr>
          <w:i/>
          <w:color w:val="C00000"/>
          <w:sz w:val="22"/>
        </w:rPr>
        <w:t>[___/QĐ-ĐHSPHN]</w:t>
      </w:r>
      <w:r>
        <w:rPr>
          <w:i/>
          <w:sz w:val="22"/>
        </w:rPr>
        <w:t xml:space="preserve"> ngày </w:t>
      </w:r>
      <w:r>
        <w:rPr>
          <w:i/>
          <w:color w:val="C00000"/>
          <w:sz w:val="22"/>
        </w:rPr>
        <w:t>[___]</w:t>
      </w:r>
      <w:r>
        <w:rPr>
          <w:i/>
          <w:sz w:val="22"/>
        </w:rPr>
        <w:t xml:space="preserve"> của Hiệu trưởng Trường Đại học Sư phạm Hà Nội về việc thành lập Hội đồng Đạo đức trong Nghiên cứu Khoa học của Trường;</w:t>
      </w:r>
    </w:p>
    <w:p>
      <w:pPr>
        <w:spacing w:after="60"/>
        <w:ind w:firstLine="425"/>
        <w:jc w:val="both"/>
      </w:pPr>
      <w:r>
        <w:rPr>
          <w:i/>
          <w:sz w:val="22"/>
        </w:rPr>
        <w:t xml:space="preserve">Căn cứ Hồ sơ xin phê duyệt đạo đức đề tài nghiên cứu của nghiên cứu sinh Công Thị Hằng đề ngày </w:t>
      </w:r>
      <w:r>
        <w:rPr>
          <w:i/>
          <w:color w:val="C00000"/>
          <w:sz w:val="22"/>
        </w:rPr>
        <w:t>[___]</w:t>
      </w:r>
      <w:r>
        <w:rPr>
          <w:i/>
          <w:sz w:val="22"/>
        </w:rPr>
        <w:t xml:space="preserve"> tháng </w:t>
      </w:r>
      <w:r>
        <w:rPr>
          <w:i/>
          <w:color w:val="C00000"/>
          <w:sz w:val="22"/>
        </w:rPr>
        <w:t>[___]</w:t>
      </w:r>
      <w:r>
        <w:rPr>
          <w:i/>
          <w:sz w:val="22"/>
        </w:rPr>
        <w:t xml:space="preserve"> năm 2025, kèm theo Thư đồng ý cho phép thu thập dữ liệu trong khuôn khổ chương trình sàng lọc sức khỏe tâm thần học sinh thường niên của Ban Giám hiệu hai Trường Trung học cơ sở Nhật Tân và Tây Mỗ;</w:t>
      </w:r>
    </w:p>
    <w:p>
      <w:pPr>
        <w:spacing w:after="60"/>
        <w:ind w:firstLine="425"/>
        <w:jc w:val="both"/>
      </w:pPr>
      <w:r>
        <w:rPr>
          <w:i/>
          <w:sz w:val="22"/>
        </w:rPr>
        <w:t xml:space="preserve">Căn cứ kết luận của Hội đồng Đạo đức tại Phiên họp thẩm định ngày </w:t>
      </w:r>
      <w:r>
        <w:rPr>
          <w:i/>
          <w:color w:val="C00000"/>
          <w:sz w:val="22"/>
        </w:rPr>
        <w:t>[___/___/2025]</w:t>
      </w:r>
      <w:r>
        <w:rPr>
          <w:i/>
          <w:sz w:val="22"/>
        </w:rPr>
        <w:t>;</w:t>
      </w:r>
    </w:p>
    <w:p>
      <w:pPr>
        <w:spacing w:after="60"/>
        <w:ind w:firstLine="425"/>
        <w:jc w:val="both"/>
      </w:pPr>
      <w:r>
        <w:rPr>
          <w:i/>
          <w:sz w:val="22"/>
        </w:rPr>
        <w:t>Theo đề nghị của Thư ký Hội đồng Đạo đức,</w:t>
      </w:r>
    </w:p>
    <w:p>
      <w:pPr>
        <w:spacing w:before="160" w:after="80"/>
        <w:jc w:val="center"/>
      </w:pPr>
      <w:r>
        <w:rPr>
          <w:b/>
          <w:sz w:val="26"/>
        </w:rPr>
        <w:t>QUYẾT ĐỊNH:</w:t>
      </w:r>
    </w:p>
    <w:p>
      <w:pPr>
        <w:spacing w:before="120" w:after="60"/>
        <w:ind w:firstLine="283"/>
        <w:jc w:val="both"/>
      </w:pPr>
      <w:r>
        <w:rPr>
          <w:b/>
          <w:sz w:val="22"/>
        </w:rPr>
        <w:t xml:space="preserve">Điều 1. </w:t>
      </w:r>
      <w:r>
        <w:rPr>
          <w:sz w:val="22"/>
        </w:rPr>
        <w:t xml:space="preserve">Phê duyệt việc phân tích thứ cấp và công bố quốc tế đối với bộ dữ liệu được thu thập trong khuôn khổ chương trình sàng lọc sức khỏe tâm thần học sinh thường niên của hai Trường Trung học cơ sở Nhật Tân và Tây Mỗ (Hà Nội), do nghiên cứu sinh Công Thị Hằng (Khoa Tâm lý - Giáo dục, Trường Đại học Sư phạm Hà Nội) thực hiện dưới sự hướng dẫn khoa học của </w:t>
      </w:r>
      <w:r>
        <w:rPr>
          <w:color w:val="C00000"/>
          <w:sz w:val="22"/>
        </w:rPr>
        <w:t>[Học hàm/học vị]</w:t>
      </w:r>
      <w:r>
        <w:rPr>
          <w:sz w:val="22"/>
        </w:rPr>
        <w:t xml:space="preserve"> Đào Minh Đức (</w:t>
      </w:r>
      <w:r>
        <w:rPr>
          <w:color w:val="C00000"/>
          <w:sz w:val="22"/>
        </w:rPr>
        <w:t>[Cơ quan công tác: Viện Tâm lý học Lâm sàng HOẶC Khoa Tâm lý - Giáo dục Trường ĐHSPHN — nhóm chọn]</w:t>
      </w:r>
      <w:r>
        <w:rPr>
          <w:sz w:val="22"/>
        </w:rPr>
        <w:t>). Đề cương đạt yêu cầu về tính khoa học và tuân thủ các nguyên tắc đạo đức trong nghiên cứu.</w:t>
      </w:r>
    </w:p>
    <w:p>
      <w:pPr>
        <w:spacing w:before="120" w:after="60"/>
        <w:ind w:firstLine="283"/>
        <w:jc w:val="both"/>
      </w:pPr>
      <w:r>
        <w:rPr>
          <w:b/>
          <w:sz w:val="22"/>
        </w:rPr>
        <w:t xml:space="preserve">Điều 2. </w:t>
      </w:r>
      <w:r>
        <w:rPr>
          <w:sz w:val="22"/>
        </w:rPr>
        <w:t>Phạm vi phê duyệt:</w:t>
      </w:r>
    </w:p>
    <w:p>
      <w:pPr>
        <w:spacing w:after="40"/>
        <w:ind w:left="567"/>
        <w:jc w:val="both"/>
      </w:pPr>
      <w:r>
        <w:rPr>
          <w:b/>
          <w:sz w:val="22"/>
        </w:rPr>
        <w:t xml:space="preserve">• Tên đề tài luận án: </w:t>
      </w:r>
      <w:r>
        <w:rPr>
          <w:sz w:val="22"/>
        </w:rPr>
        <w:t>"Các yếu tố nguy cơ và bảo vệ đối với các rối loạn lo âu ở học sinh trung học cơ sở Việt Nam"</w:t>
      </w:r>
    </w:p>
    <w:p>
      <w:pPr>
        <w:spacing w:after="40"/>
        <w:ind w:left="567"/>
        <w:jc w:val="both"/>
      </w:pPr>
      <w:r>
        <w:rPr>
          <w:b/>
          <w:sz w:val="22"/>
        </w:rPr>
        <w:t xml:space="preserve">• Mục tiêu nghiên cứu: </w:t>
      </w:r>
      <w:r>
        <w:rPr>
          <w:sz w:val="22"/>
        </w:rPr>
        <w:t>Xây dựng và kiểm chứng mô hình tích hợp ba yếu tố nguy cơ (bị bắt nạt, áp lực học tập, nghiện điện thoại) cùng bốn yếu tố bảo vệ (gắn bó trường, hỗ trợ từ cha mẹ, hỗ trợ từ bạn bè, lòng tự trọng) đến ba loại rối loạn lo âu theo DSM-5 (Lo âu Lan tỏa, Lo âu Xã hội, Lo âu Chia ly) ở học sinh trung học cơ sở Việt Nam</w:t>
      </w:r>
    </w:p>
    <w:p>
      <w:pPr>
        <w:spacing w:after="40"/>
        <w:ind w:left="567"/>
        <w:jc w:val="both"/>
      </w:pPr>
      <w:r>
        <w:rPr>
          <w:b/>
          <w:sz w:val="22"/>
        </w:rPr>
        <w:t xml:space="preserve">• Đối tượng tham gia: </w:t>
      </w:r>
      <w:r>
        <w:rPr>
          <w:sz w:val="22"/>
        </w:rPr>
        <w:t>Học sinh trung học cơ sở (tuổi 11-14, lớp 6 đến lớp 9)</w:t>
      </w:r>
    </w:p>
    <w:p>
      <w:pPr>
        <w:spacing w:after="40"/>
        <w:ind w:left="567"/>
        <w:jc w:val="both"/>
      </w:pPr>
      <w:r>
        <w:rPr>
          <w:b/>
          <w:sz w:val="22"/>
        </w:rPr>
        <w:t xml:space="preserve">• Cỡ mẫu: </w:t>
      </w:r>
      <w:r>
        <w:rPr>
          <w:sz w:val="22"/>
        </w:rPr>
        <w:t>1.352 học sinh</w:t>
      </w:r>
    </w:p>
    <w:p>
      <w:pPr>
        <w:spacing w:after="40"/>
        <w:ind w:left="567"/>
        <w:jc w:val="both"/>
      </w:pPr>
      <w:r>
        <w:rPr>
          <w:b/>
          <w:sz w:val="22"/>
        </w:rPr>
        <w:t xml:space="preserve">• Địa bàn: </w:t>
      </w:r>
      <w:r>
        <w:rPr>
          <w:sz w:val="22"/>
        </w:rPr>
        <w:t>Trường Trung học cơ sở Nhật Tân và Trường Trung học cơ sở Tây Mỗ, Hà Nội</w:t>
      </w:r>
    </w:p>
    <w:p>
      <w:pPr>
        <w:spacing w:after="40"/>
        <w:ind w:left="567"/>
        <w:jc w:val="both"/>
      </w:pPr>
      <w:r>
        <w:rPr>
          <w:b/>
          <w:sz w:val="22"/>
        </w:rPr>
        <w:t xml:space="preserve">• Thời gian thu thập dữ liệu: </w:t>
      </w:r>
      <w:r>
        <w:rPr>
          <w:sz w:val="22"/>
        </w:rPr>
        <w:t>năm học 2024-2025 (trong khuôn khổ chương trình sàng lọc sức khỏe tâm thần học sinh thường niên của nhà trường)</w:t>
      </w:r>
    </w:p>
    <w:p>
      <w:pPr>
        <w:spacing w:after="40"/>
        <w:ind w:left="567"/>
        <w:jc w:val="both"/>
      </w:pPr>
      <w:r>
        <w:rPr>
          <w:b/>
          <w:sz w:val="22"/>
        </w:rPr>
        <w:t xml:space="preserve">• Phạm vi công bố kết quả: </w:t>
      </w:r>
      <w:r>
        <w:rPr>
          <w:sz w:val="22"/>
        </w:rPr>
        <w:t>Luận án tiến sĩ của nghiên cứu sinh Công Thị Hằng và ba bài báo khoa học dự kiến công bố trên tạp chí quốc tế thuộc danh mục Scopus/WoS, tất cả khai thác cùng bộ dữ liệu nêu trên. Ba bài báo gồm: (i) Bài Q2 — "Mô hình phương trình cấu trúc tích hợp các yếu tố nguy cơ và bảo vệ đối với các phân loại rối loạn lo âu ở học sinh trung học cơ sở Việt Nam: Nghiên cứu cắt ngang"; (ii) Bài Q3 — "Các đường dẫn đặc thù theo giới đến các rối loạn lo âu ở giai đoạn đầu tuổi vị thành niên: Mô hình phương trình cấu trúc đa nhóm trên học sinh trung học cơ sở Việt Nam"; (iii) Bài Q4 — "Các hồ sơ phân loại lo âu ở học sinh trung học cơ sở Việt Nam: Phân tích hồ sơ tiềm ẩn tích hợp các chỉ báo nguy cơ và bảo vệ".</w:t>
      </w:r>
    </w:p>
    <w:p>
      <w:pPr>
        <w:spacing w:before="120" w:after="60"/>
        <w:ind w:firstLine="283"/>
        <w:jc w:val="both"/>
      </w:pPr>
      <w:r>
        <w:rPr>
          <w:b/>
          <w:sz w:val="22"/>
        </w:rPr>
        <w:t xml:space="preserve">Điều 3. </w:t>
      </w:r>
      <w:r>
        <w:rPr>
          <w:sz w:val="22"/>
        </w:rPr>
        <w:t>Cơ sở pháp lý và đạo đức của việc thu thập dữ liệu đã được thực hiện:</w:t>
      </w:r>
    </w:p>
    <w:p>
      <w:pPr>
        <w:spacing w:after="40"/>
        <w:ind w:left="567"/>
        <w:jc w:val="both"/>
      </w:pPr>
      <w:r>
        <w:rPr>
          <w:sz w:val="22"/>
        </w:rPr>
        <w:t>• Việc thu thập dữ liệu được thực hiện trong khuôn khổ chương trình sàng lọc sức khỏe tâm thần học sinh thường niên của hai Trường Trung học cơ sở Nhật Tân và Tây Mỗ, theo thư đồng ý của Ban Giám hiệu hai trường (đính kèm hồ sơ);</w:t>
      </w:r>
    </w:p>
    <w:p>
      <w:pPr>
        <w:spacing w:after="40"/>
        <w:ind w:left="567"/>
        <w:jc w:val="both"/>
      </w:pPr>
      <w:r>
        <w:rPr>
          <w:sz w:val="22"/>
        </w:rPr>
        <w:t>• Sự đồng ý bằng văn bản (informed consent) của cha/mẹ/người giám hộ đã được thu thập trước khi học sinh tham gia khảo sát;</w:t>
      </w:r>
    </w:p>
    <w:p>
      <w:pPr>
        <w:spacing w:after="40"/>
        <w:ind w:left="567"/>
        <w:jc w:val="both"/>
      </w:pPr>
      <w:r>
        <w:rPr>
          <w:sz w:val="22"/>
        </w:rPr>
        <w:t>• Sự đồng thuận bằng văn bản (assent) của học sinh đã được thu thập trước khi thực hiện khảo sát;</w:t>
      </w:r>
    </w:p>
    <w:p>
      <w:pPr>
        <w:spacing w:after="40"/>
        <w:ind w:left="567"/>
        <w:jc w:val="both"/>
      </w:pPr>
      <w:r>
        <w:rPr>
          <w:sz w:val="22"/>
        </w:rPr>
        <w:t>• Quy trình thu dữ liệu tuân thủ Tuyên bố Helsinki (1964 và các sửa đổi tiếp theo) cùng các nguyên tắc đạo đức cơ bản: tự nguyện, bảo mật, không gây hại.</w:t>
      </w:r>
    </w:p>
    <w:p>
      <w:pPr>
        <w:spacing w:before="120" w:after="60"/>
        <w:ind w:firstLine="283"/>
        <w:jc w:val="both"/>
      </w:pPr>
      <w:r>
        <w:rPr>
          <w:b/>
          <w:sz w:val="22"/>
        </w:rPr>
        <w:t xml:space="preserve">Điều 4. </w:t>
      </w:r>
      <w:r>
        <w:rPr>
          <w:sz w:val="22"/>
        </w:rPr>
        <w:t>Trách nhiệm của nghiên cứu sinh và người hướng dẫn khoa học:</w:t>
      </w:r>
    </w:p>
    <w:p>
      <w:pPr>
        <w:spacing w:after="40"/>
        <w:ind w:left="567"/>
        <w:jc w:val="both"/>
      </w:pPr>
      <w:r>
        <w:rPr>
          <w:sz w:val="22"/>
        </w:rPr>
        <w:t>• Đảm bảo bảo mật thông tin cá nhân của đối tượng nghiên cứu theo quy định hiện hành;</w:t>
      </w:r>
    </w:p>
    <w:p>
      <w:pPr>
        <w:spacing w:after="40"/>
        <w:ind w:left="567"/>
        <w:jc w:val="both"/>
      </w:pPr>
      <w:r>
        <w:rPr>
          <w:sz w:val="22"/>
        </w:rPr>
        <w:t>• Báo cáo Hội đồng Đạo đức hàng năm về tiến độ phân tích và công bố;</w:t>
      </w:r>
    </w:p>
    <w:p>
      <w:pPr>
        <w:spacing w:after="40"/>
        <w:ind w:left="567"/>
        <w:jc w:val="both"/>
      </w:pPr>
      <w:r>
        <w:rPr>
          <w:sz w:val="22"/>
        </w:rPr>
        <w:t>• Báo cáo kịp thời cho Hội đồng Đạo đức mọi tình huống bất lợi có thể phát sinh hoặc mọi thay đổi so với phạm vi đã được phê duyệt;</w:t>
      </w:r>
    </w:p>
    <w:p>
      <w:pPr>
        <w:spacing w:after="40"/>
        <w:ind w:left="567"/>
        <w:jc w:val="both"/>
      </w:pPr>
      <w:r>
        <w:rPr>
          <w:sz w:val="22"/>
        </w:rPr>
        <w:t>• Lưu trữ hồ sơ nghiên cứu tối thiểu 05 năm kể từ ngày hoàn thành nghiên cứu;</w:t>
      </w:r>
    </w:p>
    <w:p>
      <w:pPr>
        <w:spacing w:after="40"/>
        <w:ind w:left="567"/>
        <w:jc w:val="both"/>
      </w:pPr>
      <w:r>
        <w:rPr>
          <w:sz w:val="22"/>
        </w:rPr>
        <w:t>• Khi nộp bài báo cho tạp chí quốc tế, đính kèm bản scan Quyết định này (bản gốc tiếng Việt) và bản dịch tiếng Anh chính thức của Trường Đại học Sư phạm Hà Nội.</w:t>
      </w:r>
    </w:p>
    <w:p>
      <w:pPr>
        <w:spacing w:before="120" w:after="60"/>
        <w:ind w:firstLine="283"/>
        <w:jc w:val="both"/>
      </w:pPr>
      <w:r>
        <w:rPr>
          <w:b/>
          <w:sz w:val="22"/>
        </w:rPr>
        <w:t xml:space="preserve">Điều 5. </w:t>
      </w:r>
      <w:r>
        <w:rPr>
          <w:sz w:val="22"/>
        </w:rPr>
        <w:t>Quyết định này có hiệu lực kể từ ngày ký. Phạm vi phê duyệt áp dụng trong toàn bộ thời gian triển khai phân tích và công bố kết quả nghiên cứu nêu tại Điều 2, đồng thời bao trùm mọi công bố khoa học phát sinh từ đề tài này.</w:t>
      </w:r>
    </w:p>
    <w:p>
      <w:pPr>
        <w:spacing w:before="120" w:after="60"/>
        <w:ind w:firstLine="283"/>
        <w:jc w:val="both"/>
      </w:pPr>
      <w:r>
        <w:rPr>
          <w:b/>
          <w:sz w:val="22"/>
        </w:rPr>
        <w:t xml:space="preserve">Điều 6. </w:t>
      </w:r>
      <w:r>
        <w:rPr>
          <w:sz w:val="22"/>
        </w:rPr>
        <w:t>Nơi nhận: Nghiên cứu sinh Công Thị Hằng; Người hướng dẫn khoa học (</w:t>
      </w:r>
      <w:r>
        <w:rPr>
          <w:color w:val="C00000"/>
          <w:sz w:val="22"/>
        </w:rPr>
        <w:t>[Học hàm/học vị]</w:t>
      </w:r>
      <w:r>
        <w:rPr>
          <w:sz w:val="22"/>
        </w:rPr>
        <w:t xml:space="preserve"> Đào Minh Đức); Khoa Tâm lý - Giáo dục, Trường Đại học Sư phạm Hà Nội; Phòng Quản lý Khoa học Công nghệ, Trường Đại học Sư phạm Hà Nội; Lưu Văn thư - Hội đồng Đạo đức.</w:t>
      </w:r>
    </w:p>
    <w:p>
      <w:pPr>
        <w:spacing w:before="280"/>
        <w:jc w:val="right"/>
      </w:pPr>
      <w:r>
        <w:rPr>
          <w:b/>
          <w:sz w:val="22"/>
        </w:rPr>
        <w:t>CHỦ TỊCH HỘI ĐỒNG ĐẠO ĐỨC</w:t>
      </w:r>
    </w:p>
    <w:p>
      <w:pPr>
        <w:jc w:val="right"/>
      </w:pPr>
      <w:r>
        <w:rPr>
          <w:i/>
          <w:sz w:val="20"/>
        </w:rPr>
        <w:t>(Ký, ghi rõ họ tên và đóng dấu)</w:t>
      </w:r>
    </w:p>
    <w:p>
      <w:pPr>
        <w:spacing w:after="40"/>
        <w:jc w:val="right"/>
      </w:pPr>
    </w:p>
    <w:p>
      <w:pPr>
        <w:spacing w:after="40"/>
        <w:jc w:val="right"/>
      </w:pPr>
    </w:p>
    <w:p>
      <w:pPr>
        <w:spacing w:after="40"/>
        <w:jc w:val="right"/>
      </w:pPr>
    </w:p>
    <w:p>
      <w:pPr>
        <w:jc w:val="right"/>
      </w:pPr>
      <w:r>
        <w:rPr>
          <w:b/>
          <w:color w:val="C00000"/>
          <w:sz w:val="22"/>
        </w:rPr>
        <w:t>[Học hàm/học vị + Họ tên Chủ tịch HĐ Đạo đức]</w:t>
      </w:r>
    </w:p>
    <w:sectPr w:rsidR="00FC693F" w:rsidRPr="0006063C" w:rsidSect="00034616">
      <w:pgSz w:w="12240" w:h="15840"/>
      <w:pgMar w:top="964" w:right="96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