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jc w:val="center"/>
      </w:pPr>
      <w:r>
        <w:rPr>
          <w:rFonts w:ascii="Times New Roman" w:hAnsi="Times New Roman"/>
          <w:b/>
          <w:color w:val="1F4E79"/>
          <w:sz w:val="28"/>
        </w:rPr>
        <w:t>Anxiety phenotype profiles in Vietnamese lower secondary students: A latent profile analysis with risk-protective indicator integration</w:t>
      </w:r>
    </w:p>
    <w:p>
      <w:pPr>
        <w:jc w:val="center"/>
      </w:pPr>
      <w:r>
        <w:rPr>
          <w:rFonts w:ascii="Times New Roman" w:hAnsi="Times New Roman"/>
          <w:b/>
          <w:i/>
          <w:sz w:val="24"/>
        </w:rPr>
        <w:t>Các hồ sơ phân loại lo âu ở học sinh trung học cơ sở Việt Nam: Phân tích hồ sơ tiềm ẩn tích hợp các chỉ báo nguy cơ và bảo vệ</w:t>
      </w:r>
    </w:p>
    <w:p>
      <w:pPr>
        <w:jc w:val="center"/>
      </w:pPr>
      <w:r>
        <w:rPr>
          <w:rFonts w:ascii="Times New Roman" w:hAnsi="Times New Roman"/>
          <w:i/>
          <w:color w:val="808080"/>
          <w:sz w:val="20"/>
        </w:rPr>
        <w:t>Cong Thi Hang [first author]; Dao Minh Duc; Nguyen Minh Duc [corresponding author]</w:t>
      </w:r>
    </w:p>
    <w:p>
      <w:pPr>
        <w:jc w:val="center"/>
      </w:pPr>
      <w:r>
        <w:rPr>
          <w:rFonts w:ascii="Times New Roman" w:hAnsi="Times New Roman"/>
          <w:i/>
          <w:color w:val="808080"/>
          <w:sz w:val="20"/>
        </w:rPr>
        <w:t>Faculty of Psychology and Education, Hanoi National University of Education</w:t>
      </w:r>
    </w:p>
    <w:p>
      <w:pPr>
        <w:jc w:val="center"/>
      </w:pPr>
      <w:r>
        <w:rPr>
          <w:rFonts w:ascii="Times New Roman" w:hAnsi="Times New Roman"/>
          <w:i/>
          <w:color w:val="808080"/>
          <w:sz w:val="20"/>
        </w:rPr>
        <w:t>Target journal: Journal of Psychopathology and Behavioral Assessment OR BMC Psychiatry</w:t>
      </w:r>
    </w:p>
    <w:p>
      <w:pPr>
        <w:spacing w:before="320" w:after="160"/>
      </w:pPr>
      <w:r>
        <w:rPr>
          <w:rFonts w:ascii="Times New Roman" w:hAnsi="Times New Roman"/>
          <w:b/>
          <w:color w:val="C00000"/>
          <w:sz w:val="28"/>
        </w:rPr>
        <w:t>ABSTRACT — TÓM TẮT</w:t>
      </w:r>
    </w:p>
    <w:p>
      <w:pPr>
        <w:spacing w:before="200" w:after="80"/>
      </w:pPr>
      <w:r>
        <w:rPr>
          <w:rFonts w:ascii="Times New Roman" w:hAnsi="Times New Roman"/>
          <w:b/>
          <w:color w:val="2E74B5"/>
          <w:sz w:val="24"/>
        </w:rPr>
        <w:t>Background — Bối cảnh</w:t>
      </w:r>
    </w:p>
    <w:p>
      <w:pPr>
        <w:spacing w:after="80"/>
        <w:ind w:firstLine="283"/>
        <w:jc w:val="both"/>
      </w:pPr>
      <w:r>
        <w:rPr>
          <w:rFonts w:ascii="Times New Roman" w:hAnsi="Times New Roman"/>
          <w:sz w:val="22"/>
        </w:rPr>
        <w:t>Variable-centered analyses such as structural equation modeling (SEM, used in our preceding papers Q2 and Q3) test how risk and protective factors relate to anxiety outcomes, but cannot detect whether students cluster into distinct "phenotype profiles" — qualitatively different patterns of risk-protective configurations. Person-centered methods such as Latent Profile Analysis (LPA) complement variable-centered approaches by identifying unobserved subgroups within a population. To date, LPA-based phenotyping of adolescent anxiety has not been applied to Vietnamese lower secondary student cohorts.</w:t>
      </w:r>
    </w:p>
    <w:p>
      <w:pPr>
        <w:spacing w:after="160"/>
        <w:ind w:firstLine="283" w:left="170"/>
        <w:jc w:val="both"/>
      </w:pPr>
      <w:r>
        <w:rPr>
          <w:rFonts w:ascii="Times New Roman" w:hAnsi="Times New Roman"/>
          <w:i/>
          <w:color w:val="333333"/>
          <w:sz w:val="22"/>
        </w:rPr>
        <w:t>Các phân tích lấy biến làm trung tâm như mô hình phương trình cấu trúc (SEM, đã sử dụng trong bài Q2 và Q3 trước đó của chúng tôi) kiểm chứng cách các yếu tố nguy cơ và bảo vệ liên quan tới các kết quả lo âu, nhưng không phát hiện được liệu học sinh có gộp thành các "hồ sơ phân loại" riêng biệt hay không — các mẫu hình cấu hình nguy cơ-bảo vệ khác biệt về mặt định tính. Các phương pháp lấy con người làm trung tâm như Phân tích Hồ sơ Tiềm ẩn (LPA — Latent Profile Analysis) bổ sung cho cách tiếp cận lấy biến làm trung tâm bằng cách nhận diện các nhóm con không quan sát được trong một dân số. Cho đến nay, phân loại hồ sơ lo âu vị thành niên dựa trên LPA chưa được áp dụng cho cohort học sinh trung học cơ sở Việt Nam.</w:t>
      </w:r>
    </w:p>
    <w:p>
      <w:pPr>
        <w:spacing w:before="200" w:after="80"/>
      </w:pPr>
      <w:r>
        <w:rPr>
          <w:rFonts w:ascii="Times New Roman" w:hAnsi="Times New Roman"/>
          <w:b/>
          <w:color w:val="2E74B5"/>
          <w:sz w:val="24"/>
        </w:rPr>
        <w:t>Methods — Phương pháp</w:t>
      </w:r>
    </w:p>
    <w:p>
      <w:pPr>
        <w:spacing w:after="80"/>
        <w:ind w:firstLine="283"/>
        <w:jc w:val="both"/>
      </w:pPr>
      <w:r>
        <w:rPr>
          <w:rFonts w:ascii="Times New Roman" w:hAnsi="Times New Roman"/>
          <w:sz w:val="22"/>
        </w:rPr>
        <w:t>Cross-sectional survey of 1,352 Vietnamese lower secondary students (same dataset as Q2 and Q3). Ten indicator variables were submitted to LPA: three risk factors (bullying victimization, academic stress, smartphone addiction), four protective factors (school membership, parental support, peer support, self-esteem), and three DSM-5 anxiety subtype scores (Generalized Anxiety, Social Anxiety, Separation Anxiety). Models with K = 2, 3, 4, 5, 6 profiles were compared using BIC (Bayesian Information Criterion), AIC (Akaike Information Criterion), entropy, and Lo-Mendell-Rubin Likelihood Ratio Test (LMR-LRT) following Nylund et al. (2007) recommendations. The optimal solution was interpreted substantively and externally validated against gender, grade, and school distributions.</w:t>
      </w:r>
    </w:p>
    <w:p>
      <w:pPr>
        <w:spacing w:after="160"/>
        <w:ind w:firstLine="283" w:left="170"/>
        <w:jc w:val="both"/>
      </w:pPr>
      <w:r>
        <w:rPr>
          <w:rFonts w:ascii="Times New Roman" w:hAnsi="Times New Roman"/>
          <w:i/>
          <w:color w:val="333333"/>
          <w:sz w:val="22"/>
        </w:rPr>
        <w:t>Khảo sát cắt ngang trên 1.352 học sinh trung học cơ sở Việt Nam (cùng bộ dữ liệu với Q2 và Q3). Mười biến chỉ báo được đưa vào LPA: ba yếu tố nguy cơ (bị bắt nạt, áp lực học tập, nghiện điện thoại), bốn yếu tố bảo vệ (gắn bó trường, hỗ trợ cha mẹ, hỗ trợ bạn bè, lòng tự trọng), và ba điểm phân loại lo âu theo DSM-5 (Lo âu Lan tỏa, Lo âu Xã hội, Lo âu Chia ly). Các mô hình với K = 2, 3, 4, 5, 6 hồ sơ được so sánh sử dụng BIC (Tiêu chí Thông tin Bayes), AIC (Tiêu chí Thông tin Akaike), độ rõ ràng phân loại (entropy), và Kiểm định Tỷ số Khả năng Lo-Mendell-Rubin (LMR-LRT) theo khuyến nghị của Nylund và cs. (2007). Giải pháp tối ưu được diễn giải về mặt thực chất và kiểm chứng bên ngoài qua phân bố giới, khối lớp, và trường học.</w:t>
      </w:r>
    </w:p>
    <w:p>
      <w:pPr>
        <w:spacing w:before="200" w:after="80"/>
      </w:pPr>
      <w:r>
        <w:rPr>
          <w:rFonts w:ascii="Times New Roman" w:hAnsi="Times New Roman"/>
          <w:b/>
          <w:color w:val="2E74B5"/>
          <w:sz w:val="24"/>
        </w:rPr>
        <w:t>Results — Kết quả (dự kiến — chờ phân tích)</w:t>
      </w:r>
    </w:p>
    <w:p>
      <w:pPr>
        <w:spacing w:after="80"/>
        <w:ind w:firstLine="283"/>
        <w:jc w:val="both"/>
      </w:pPr>
      <w:r>
        <w:rPr>
          <w:rFonts w:ascii="Times New Roman" w:hAnsi="Times New Roman"/>
          <w:sz w:val="22"/>
        </w:rPr>
        <w:t>Chúng tôi dự đoán tìm được 4-5 hồ sơ phân loại lo âu khác biệt. Dựa trên các nghiên cứu LPA về lo âu vị thành niên ở các nước khác và việc kiểm tra trực quan sơ bộ inspection of the data, we propose the following expected profiles: (i) resilient majority with low risk + high protective + low anxiety; (ii) achievement-driven with high academic stress + low self-esteem + moderate anxiety; (iii) peer-victimization with high bullying + low school membership + high SAD; (iv) digital-isolation with high smartphone + low parental support + moderate SocAD; and possibly (v) universally elevated with high on all risk + low on all protective + severe anxiety. Profile distributions will be tested for gender, grade, and school differences.</w:t>
      </w:r>
    </w:p>
    <w:p>
      <w:pPr>
        <w:spacing w:after="160"/>
        <w:ind w:firstLine="283" w:left="170"/>
        <w:jc w:val="both"/>
      </w:pPr>
      <w:r>
        <w:rPr>
          <w:rFonts w:ascii="Times New Roman" w:hAnsi="Times New Roman"/>
          <w:i/>
          <w:color w:val="333333"/>
          <w:sz w:val="22"/>
        </w:rPr>
        <w:t>Chúng tôi dự kiến nhận diện được 4-5 hồ sơ phân loại lo âu riêng biệt. Dựa trên các nghiên cứu LPA trước đó về lo âu vị thành niên ở các quốc gia khác và việc kiểm tra trực quan sơ bộ dữ liệu của chúng tôi, chúng tôi đề xuất các hồ sơ dự kiến sau: (i) đa số kiên cường với nguy cơ thấp + bảo vệ cao + lo âu thấp; (ii) theo đuổi thành tích với áp lực học tập cao + tự trọng thấp + lo âu vừa; (iii) nạn nhân hóa bởi bạn bè với bị bắt nạt cao + gắn bó trường thấp + SAD cao; (iv) cô lập số với nghiện điện thoại cao + hỗ trợ cha mẹ thấp + SocAD vừa; và có thể (v) đồng loạt cao với nguy cơ cao tất cả + bảo vệ thấp tất cả + lo âu nặng. Phân bố hồ sơ sẽ được kiểm chứng theo giới, khối lớp, và trường.</w:t>
      </w:r>
    </w:p>
    <w:p>
      <w:pPr>
        <w:spacing w:before="200" w:after="80"/>
      </w:pPr>
      <w:r>
        <w:rPr>
          <w:rFonts w:ascii="Times New Roman" w:hAnsi="Times New Roman"/>
          <w:b/>
          <w:color w:val="2E74B5"/>
          <w:sz w:val="24"/>
        </w:rPr>
        <w:t>Conclusions — Kết luận</w:t>
      </w:r>
    </w:p>
    <w:p>
      <w:pPr>
        <w:spacing w:after="80"/>
        <w:ind w:firstLine="283"/>
        <w:jc w:val="both"/>
      </w:pPr>
      <w:r>
        <w:rPr>
          <w:rFonts w:ascii="Times New Roman" w:hAnsi="Times New Roman"/>
          <w:sz w:val="22"/>
        </w:rPr>
        <w:t>The phenotype profiles will inform targeted prevention — different profiles likely benefit from different intervention components. Together with our preceding Q2 paper (variable-centered SEM identifying integrated mechanisms) and Q3 paper (group-centered multi-group SEM identifying gender invariance), Q4 completes a "hat-trick" three-paper research program characterizing Vietnamese adolescent anxiety from variable-, group-, and person-centered perspectives.</w:t>
      </w:r>
    </w:p>
    <w:p>
      <w:pPr>
        <w:spacing w:after="160"/>
        <w:ind w:firstLine="283" w:left="170"/>
        <w:jc w:val="both"/>
      </w:pPr>
      <w:r>
        <w:rPr>
          <w:rFonts w:ascii="Times New Roman" w:hAnsi="Times New Roman"/>
          <w:i/>
          <w:color w:val="333333"/>
          <w:sz w:val="22"/>
        </w:rPr>
        <w:t>Các hồ sơ phân loại sẽ cung cấp thông tin cho phòng ngừa có mục tiêu — các hồ sơ khác nhau có thể hưởng lợi từ các thành phần can thiệp khác nhau. Cùng với bài Q2 trước đó (SEM lấy biến làm trung tâm xác định các cơ chế tích hợp) và bài Q3 (SEM đa nhóm lấy nhóm làm trung tâm xác định bất biến theo giới), bài Q4 hoàn thành chương trình nghiên cứu ba bài "hat-trick" mô tả đặc điểm lo âu vị thành niên Việt Nam từ ba góc nhìn: lấy biến, lấy nhóm, và lấy con người làm trung tâm.</w:t>
      </w:r>
    </w:p>
    <w:p>
      <w:pPr>
        <w:spacing w:before="200" w:after="80"/>
      </w:pPr>
      <w:r>
        <w:rPr>
          <w:rFonts w:ascii="Times New Roman" w:hAnsi="Times New Roman"/>
          <w:b/>
          <w:color w:val="2E74B5"/>
          <w:sz w:val="24"/>
        </w:rPr>
        <w:t>Keywords — Từ khóa</w:t>
      </w:r>
    </w:p>
    <w:p>
      <w:pPr>
        <w:spacing w:after="80"/>
        <w:ind w:firstLine="283"/>
        <w:jc w:val="both"/>
      </w:pPr>
      <w:r>
        <w:rPr>
          <w:rFonts w:ascii="Times New Roman" w:hAnsi="Times New Roman"/>
          <w:sz w:val="22"/>
        </w:rPr>
        <w:t>latent profile analysis; adolescent anxiety; person-centered; phenotype profiles; Vietnam; gender; risk-protective; tam giao</w:t>
      </w:r>
    </w:p>
    <w:p>
      <w:pPr>
        <w:spacing w:after="160"/>
        <w:ind w:firstLine="283" w:left="170"/>
        <w:jc w:val="both"/>
      </w:pPr>
      <w:r>
        <w:rPr>
          <w:rFonts w:ascii="Times New Roman" w:hAnsi="Times New Roman"/>
          <w:i/>
          <w:color w:val="333333"/>
          <w:sz w:val="22"/>
        </w:rPr>
        <w:t>phân tích hồ sơ tiềm ẩn (latent profile analysis); lo âu vị thành niên; lấy con người làm trung tâm; hồ sơ phân loại; Việt Nam; giới; nguy cơ-bảo vệ; tam giáo</w:t>
      </w:r>
    </w:p>
    <w:p>
      <w:pPr>
        <w:spacing w:before="320" w:after="160"/>
      </w:pPr>
      <w:r>
        <w:rPr>
          <w:rFonts w:ascii="Times New Roman" w:hAnsi="Times New Roman"/>
          <w:b/>
          <w:color w:val="C00000"/>
          <w:sz w:val="28"/>
        </w:rPr>
        <w:t>1. INTRODUCTION — DẪN NHẬP</w:t>
      </w:r>
    </w:p>
    <w:p>
      <w:pPr>
        <w:spacing w:before="200" w:after="80"/>
      </w:pPr>
      <w:r>
        <w:rPr>
          <w:rFonts w:ascii="Times New Roman" w:hAnsi="Times New Roman"/>
          <w:b/>
          <w:color w:val="2E74B5"/>
          <w:sz w:val="24"/>
        </w:rPr>
        <w:t>1.1. Variable-centered vs person-centered approaches / Cách lấy biến làm trung tâm so với cách lấy con người làm trung tâm</w:t>
      </w:r>
    </w:p>
    <w:p>
      <w:pPr>
        <w:spacing w:after="80"/>
        <w:ind w:firstLine="283"/>
        <w:jc w:val="both"/>
      </w:pPr>
      <w:r>
        <w:rPr>
          <w:rFonts w:ascii="Times New Roman" w:hAnsi="Times New Roman"/>
          <w:sz w:val="22"/>
        </w:rPr>
        <w:t>Most adolescent anxiety research uses variable-centered methods — correlation, regression, structural equation modeling — that estimate average relationships between variables in the population. These methods assume the sample is homogeneous: a single set of pathway coefficients applies to all individuals. Person-centered methods such as latent profile analysis (LPA), latent class analysis (LCA), and growth mixture modeling (GMM) relax this homogeneity assumption by allowing the population to contain unobserved subgroups with qualitatively different patterns. Both approaches answer complementary scientific questions: variable-centered asks "what relationships hold on average?"; person-centered asks "how do individuals cluster into distinct types?" (Bauer 2007; Lanza &amp; Cooper 2016).</w:t>
      </w:r>
    </w:p>
    <w:p>
      <w:pPr>
        <w:spacing w:after="160"/>
        <w:ind w:firstLine="283" w:left="170"/>
        <w:jc w:val="both"/>
      </w:pPr>
      <w:r>
        <w:rPr>
          <w:rFonts w:ascii="Times New Roman" w:hAnsi="Times New Roman"/>
          <w:i/>
          <w:color w:val="333333"/>
          <w:sz w:val="22"/>
        </w:rPr>
        <w:t>Hầu hết nghiên cứu lo âu vị thành niên sử dụng các phương pháp lấy biến làm trung tâm — tương quan, hồi quy, mô hình phương trình cấu trúc — ước lượng các mối quan hệ trung bình giữa các biến trong dân số. Các phương pháp này giả định mẫu là đồng nhất: một tập hợp các hệ số đường dẫn áp dụng cho tất cả cá nhân. Các phương pháp lấy con người làm trung tâm như phân tích hồ sơ tiềm ẩn (LPA), phân tích lớp tiềm ẩn (LCA — Latent Class Analysis), và mô hình hỗn hợp tăng trưởng (GMM — Growth Mixture Modeling) nới lỏng giả định đồng nhất này bằng cách cho phép dân số chứa các nhóm con không quan sát được với các mẫu hình khác biệt về định tính. Hai cách tiếp cận trả lời các câu hỏi khoa học bổ sung lẫn nhau: lấy biến làm trung tâm hỏi "các mối quan hệ nào giữ nguyên trung bình?"; lấy con người làm trung tâm hỏi "các cá nhân gộp thành các loại khác biệt như thế nào?" (Bauer 2007; Lanza &amp; Cooper 2016).</w:t>
      </w:r>
    </w:p>
    <w:p>
      <w:pPr>
        <w:spacing w:before="200" w:after="80"/>
      </w:pPr>
      <w:r>
        <w:rPr>
          <w:rFonts w:ascii="Times New Roman" w:hAnsi="Times New Roman"/>
          <w:b/>
          <w:color w:val="2E74B5"/>
          <w:sz w:val="24"/>
        </w:rPr>
        <w:t>1.2. Why person-centered analyses matter for prevention / Vì sao phân tích lấy con người làm trung tâm có ý nghĩa cho phòng ngừa</w:t>
      </w:r>
    </w:p>
    <w:p>
      <w:pPr>
        <w:spacing w:after="80"/>
        <w:ind w:firstLine="283"/>
        <w:jc w:val="both"/>
      </w:pPr>
      <w:r>
        <w:rPr>
          <w:rFonts w:ascii="Times New Roman" w:hAnsi="Times New Roman"/>
          <w:sz w:val="22"/>
        </w:rPr>
        <w:t>Anxiety disorders are common in adolescence — approximately half of all lifetime cases begin by age 14 (Kessler et al. 2005), and rates are highest in girls (Hankin et al. 2007; McLean &amp; Anderson 2009). Cross-national epidemiology shows the burden varies widely across countries (Jefferies &amp; Ungar 2020). Public health practice often allocates intervention resources by risk profile — high-risk youth receive intensive programs, low-risk youth receive universal prevention. However, allocation by single-variable risk (e.g., "high bullying" alone) can miss important configurations: a student with high bullying but extremely high parental support may be less in need than a student with moderate bullying combined with low parental support and low self-esteem. Identifying meaningful phenotype profiles helps match the intensity and content of intervention to specific student needs, avoiding both under-treatment of high-need students and over-treatment of low-need students.</w:t>
      </w:r>
    </w:p>
    <w:p>
      <w:pPr>
        <w:spacing w:after="160"/>
        <w:ind w:firstLine="283" w:left="170"/>
        <w:jc w:val="both"/>
      </w:pPr>
      <w:r>
        <w:rPr>
          <w:rFonts w:ascii="Times New Roman" w:hAnsi="Times New Roman"/>
          <w:i/>
          <w:color w:val="333333"/>
          <w:sz w:val="22"/>
        </w:rPr>
        <w:t>Các rối loạn lo âu phổ biến ở tuổi vị thành niên — khoảng một nửa số ca trong đời khởi phát trước 14 tuổi (Kessler và cs. 2005), và tỷ lệ cao nhất ở nữ (Hankin và cs. 2007; McLean &amp; Anderson 2009). Dịch tễ xuyên quốc gia cho thấy gánh nặng khác biệt rộng rãi giữa các quốc gia (Jefferies &amp; Ungar 2020). Thực hành y tế công cộng thường phân bổ nguồn lực can thiệp theo hồ sơ nguy cơ — thanh thiếu niên nguy cơ cao nhận chương trình chuyên sâu, nguy cơ thấp nhận phòng ngừa phổ quát. Tuy nhiên, phân bổ theo nguy cơ đơn biến (ví dụ "bị bắt nạt cao" một mình) có thể bỏ sót các cấu hình quan trọng: một học sinh bị bắt nạt cao nhưng có sự hỗ trợ từ cha mẹ cực kỳ cao có thể ít cần can thiệp hơn một học sinh bị bắt nạt vừa kết hợp với hỗ trợ cha mẹ thấp và lòng tự trọng thấp. Nhận diện các hồ sơ phân loại có ý nghĩa giúp khớp cường độ và nội dung can thiệp với nhu cầu cụ thể của học sinh, tránh đồng thời việc thiếu can thiệp cho học sinh có nhu cầu cao và can thiệp thừa cho học sinh có nhu cầu thấp.</w:t>
      </w:r>
    </w:p>
    <w:p>
      <w:pPr>
        <w:spacing w:before="200" w:after="80"/>
      </w:pPr>
      <w:r>
        <w:rPr>
          <w:rFonts w:ascii="Times New Roman" w:hAnsi="Times New Roman"/>
          <w:b/>
          <w:color w:val="2E74B5"/>
          <w:sz w:val="24"/>
        </w:rPr>
        <w:t>1.3. Research gap: no Vietnamese phenotype profiling / Khoảng trống nghiên cứu: chưa có phân loại hồ sơ ở Việt Nam</w:t>
      </w:r>
    </w:p>
    <w:p>
      <w:pPr>
        <w:spacing w:after="80"/>
        <w:ind w:firstLine="283"/>
        <w:jc w:val="both"/>
      </w:pPr>
      <w:r>
        <w:rPr>
          <w:rFonts w:ascii="Times New Roman" w:hAnsi="Times New Roman"/>
          <w:sz w:val="22"/>
        </w:rPr>
        <w:t>LPA-based phenotyping of adolescent anxiety has been conducted in samples from China, the United States, Australia, and several European countries. However, no published LPA study has examined Vietnamese lower secondary students. Given the distinctive risk-protective configuration of Vietnamese adolescents — shaped by Confucian academic culture, the integrated tam giao worldview, and the rapid digital transformation of the past decade — it is plausible that Vietnamese phenotype profiles differ from those identified in Western or other East Asian samples. Filling this gap is the central aim of the present study.</w:t>
      </w:r>
    </w:p>
    <w:p>
      <w:pPr>
        <w:spacing w:after="160"/>
        <w:ind w:firstLine="283" w:left="170"/>
        <w:jc w:val="both"/>
      </w:pPr>
      <w:r>
        <w:rPr>
          <w:rFonts w:ascii="Times New Roman" w:hAnsi="Times New Roman"/>
          <w:i/>
          <w:color w:val="333333"/>
          <w:sz w:val="22"/>
        </w:rPr>
        <w:t>Phân loại hồ sơ lo âu vị thành niên dựa trên LPA đã được thực hiện trên các mẫu từ Trung Quốc, Hoa Kỳ, Úc, và một số quốc gia châu Âu. Tuy nhiên, chưa có nghiên cứu LPA công bố nào khảo sát học sinh trung học cơ sở Việt Nam. Với cấu hình nguy cơ-bảo vệ đặc trưng của vị thành niên Việt Nam — được định hình bởi văn hóa học thuật Nho giáo, thế giới quan tích hợp tam giáo, và sự chuyển đổi số nhanh trong thập kỷ qua — có thể các hồ sơ phân loại của Việt Nam khác biệt so với các hồ sơ được nhận diện ở các mẫu phương Tây hoặc Đông Á khác. Lấp đầy khoảng trống này là mục tiêu trung tâm của nghiên cứu này.</w:t>
      </w:r>
    </w:p>
    <w:p>
      <w:pPr>
        <w:spacing w:before="200" w:after="80"/>
      </w:pPr>
      <w:r>
        <w:rPr>
          <w:rFonts w:ascii="Times New Roman" w:hAnsi="Times New Roman"/>
          <w:b/>
          <w:color w:val="2E74B5"/>
          <w:sz w:val="24"/>
        </w:rPr>
        <w:t>1.4. Research questions / Các câu hỏi nghiên cứu</w:t>
      </w:r>
    </w:p>
    <w:p>
      <w:pPr>
        <w:spacing w:after="80"/>
        <w:ind w:firstLine="283"/>
        <w:jc w:val="both"/>
      </w:pPr>
      <w:r>
        <w:rPr>
          <w:rFonts w:ascii="Times New Roman" w:hAnsi="Times New Roman"/>
          <w:sz w:val="22"/>
        </w:rPr>
        <w:t>Unlike our Q2 and Q3 papers, which test pre-registered hypotheses, Q4 asks three exploratory research questions because LPA is by design an exploratory method. Research Question 1: How many distinct anxiety phenotype profiles are present in the sample of 1,352 Vietnamese lower secondary students? Research Question 2: How are the identified profiles characterized in terms of risk factor levels, protective factor levels, and anxiety subtype severity? Research Question 3: How do profile membership distributions vary by gender, grade level, and school context (urban vs suburban)?</w:t>
      </w:r>
    </w:p>
    <w:p>
      <w:pPr>
        <w:spacing w:after="160"/>
        <w:ind w:firstLine="283" w:left="170"/>
        <w:jc w:val="both"/>
      </w:pPr>
      <w:r>
        <w:rPr>
          <w:rFonts w:ascii="Times New Roman" w:hAnsi="Times New Roman"/>
          <w:i/>
          <w:color w:val="333333"/>
          <w:sz w:val="22"/>
        </w:rPr>
        <w:t>Khác với bài Q2 và Q3 — kiểm chứng các giả thuyết đăng ký trước — bài Q4 đặt ba câu hỏi nghiên cứu thám sát vì LPA về bản chất là một phương pháp thám sát. Câu hỏi nghiên cứu 1: Có bao nhiêu hồ sơ phân loại lo âu khác biệt trong mẫu 1.352 học sinh trung học cơ sở Việt Nam? Câu hỏi nghiên cứu 2: Các hồ sơ được nhận diện được đặc trưng như thế nào về mức độ các yếu tố nguy cơ, mức độ các yếu tố bảo vệ, và độ nặng của các phân loại lo âu? Câu hỏi nghiên cứu 3: Phân bố thành viên hồ sơ thay đổi như thế nào theo giới, khối lớp, và bối cảnh trường (đô thị so với ngoại ô)?</w:t>
      </w:r>
    </w:p>
    <w:p>
      <w:pPr>
        <w:spacing w:before="320" w:after="160"/>
      </w:pPr>
      <w:r>
        <w:rPr>
          <w:rFonts w:ascii="Times New Roman" w:hAnsi="Times New Roman"/>
          <w:b/>
          <w:color w:val="C00000"/>
          <w:sz w:val="28"/>
        </w:rPr>
        <w:t>2. METHODS — PHƯƠNG PHÁP</w:t>
      </w:r>
    </w:p>
    <w:p>
      <w:pPr>
        <w:spacing w:before="200" w:after="80"/>
      </w:pPr>
      <w:r>
        <w:rPr>
          <w:rFonts w:ascii="Times New Roman" w:hAnsi="Times New Roman"/>
          <w:b/>
          <w:color w:val="2E74B5"/>
          <w:sz w:val="24"/>
        </w:rPr>
        <w:t>2.1. Participants / Người tham gia</w:t>
      </w:r>
    </w:p>
    <w:p>
      <w:pPr>
        <w:spacing w:after="80"/>
        <w:ind w:firstLine="283"/>
        <w:jc w:val="both"/>
      </w:pPr>
      <w:r>
        <w:rPr>
          <w:rFonts w:ascii="Times New Roman" w:hAnsi="Times New Roman"/>
          <w:sz w:val="22"/>
        </w:rPr>
        <w:t>The sample comprised 1,352 Vietnamese lower secondary students (boys n = 614, 45.4%; girls n = 738, 54.6%) recruited from two schools in Hanoi: Nhat Tan (urban) and Tay Mo (suburban), during the 2024-2025 academic year. Ages 11-14, grades 6-9 (n_grade6 = 368; n_grade7 = 316; n_grade8 = 340; n_grade9 = 328). This is the same sample used in our preceding Q2 (variable-centered SEM) and Q3 (multi-group SEM) papers, enabling direct cross-paper comparison of variable-, group-, and person-centered findings.</w:t>
      </w:r>
    </w:p>
    <w:p>
      <w:pPr>
        <w:spacing w:after="160"/>
        <w:ind w:firstLine="283" w:left="170"/>
        <w:jc w:val="both"/>
      </w:pPr>
      <w:r>
        <w:rPr>
          <w:rFonts w:ascii="Times New Roman" w:hAnsi="Times New Roman"/>
          <w:i/>
          <w:color w:val="333333"/>
          <w:sz w:val="22"/>
        </w:rPr>
        <w:t>Mẫu gồm 1.352 học sinh trung học cơ sở Việt Nam (nam n = 614, 45,4%; nữ n = 738, 54,6%) tuyển từ hai trường tại Hà Nội: Nhật Tân (đô thị) và Tây Mỗ (ngoại ô), trong năm học 2024-2025. Tuổi 11-14, lớp 6-9 (n_lớp6 = 368; n_lớp7 = 316; n_lớp8 = 340; n_lớp9 = 328). Đây là cùng mẫu được sử dụng trong bài Q2 trước đó của chúng tôi (SEM lấy biến làm trung tâm) và Q3 (SEM đa nhóm), cho phép so sánh trực tiếp xuyên bài các phát hiện lấy biến, lấy nhóm, và lấy con người làm trung tâm.</w:t>
      </w:r>
    </w:p>
    <w:p>
      <w:pPr>
        <w:spacing w:before="200" w:after="80"/>
      </w:pPr>
      <w:r>
        <w:rPr>
          <w:rFonts w:ascii="Times New Roman" w:hAnsi="Times New Roman"/>
          <w:b/>
          <w:color w:val="2E74B5"/>
          <w:sz w:val="24"/>
        </w:rPr>
        <w:t>2.2. Measures and indicator selection / Công cụ đo lường và lựa chọn chỉ báo</w:t>
      </w:r>
    </w:p>
    <w:p>
      <w:pPr>
        <w:spacing w:after="80"/>
        <w:ind w:firstLine="283"/>
        <w:jc w:val="both"/>
      </w:pPr>
      <w:r>
        <w:rPr>
          <w:rFonts w:ascii="Times New Roman" w:hAnsi="Times New Roman"/>
          <w:sz w:val="22"/>
        </w:rPr>
        <w:t>We selected 10 indicator variables for LPA based on the integrated risk-protective model from Q2 v1. Three risk factors: bullying victimization (OBVQ); academic stress (ESSA); smartphone addiction (SAS-SV). Four protective factors: school membership (PSSM); parental support (MSPSS subscale); peer support (MSPSS subscale); self-esteem (RSES). Three anxiety subtype scores from RCADS: GAD; SAD; SocAD. All 10 indicators were standardized to a T-score metric (mean = 50, SD = 10) prior to LPA to ensure comparable scaling across indicators. Full validation details for each instrument are reported in the Methods section of our Q2 v1 paper and not repeated here.</w:t>
      </w:r>
    </w:p>
    <w:p>
      <w:pPr>
        <w:spacing w:after="160"/>
        <w:ind w:firstLine="283" w:left="170"/>
        <w:jc w:val="both"/>
      </w:pPr>
      <w:r>
        <w:rPr>
          <w:rFonts w:ascii="Times New Roman" w:hAnsi="Times New Roman"/>
          <w:i/>
          <w:color w:val="333333"/>
          <w:sz w:val="22"/>
        </w:rPr>
        <w:t>Chúng tôi chọn 10 biến chỉ báo cho LPA dựa trên mô hình tích hợp nguy cơ-bảo vệ từ Q2 v1. Ba yếu tố nguy cơ: bị bắt nạt (OBVQ); áp lực học tập (ESSA); nghiện điện thoại (SAS-SV). Bốn yếu tố bảo vệ: gắn bó trường (PSSM); hỗ trợ cha mẹ (phân thang MSPSS); hỗ trợ bạn bè (phân thang MSPSS); lòng tự trọng (RSES). Ba điểm phân loại lo âu từ RCADS: GAD; SAD; SocAD. Cả 10 chỉ báo được chuẩn hóa sang thang T-score (trung bình = 50, SD = 10) trước LPA để đảm bảo các chỉ báo có cùng thang đo. Chi tiết chuẩn hóa đầy đủ cho mỗi công cụ được báo cáo trong phần Phương pháp của bài Q2 v1 của chúng tôi và không lặp lại ở đây.</w:t>
      </w:r>
    </w:p>
    <w:p>
      <w:pPr>
        <w:spacing w:before="200" w:after="80"/>
      </w:pPr>
      <w:r>
        <w:rPr>
          <w:rFonts w:ascii="Times New Roman" w:hAnsi="Times New Roman"/>
          <w:b/>
          <w:color w:val="2E74B5"/>
          <w:sz w:val="24"/>
        </w:rPr>
        <w:t>2.3. Latent profile analytic strategy / Quy trình phân tích hồ sơ tiềm ẩn</w:t>
      </w:r>
    </w:p>
    <w:p>
      <w:pPr>
        <w:spacing w:after="80"/>
        <w:ind w:firstLine="283"/>
        <w:jc w:val="both"/>
      </w:pPr>
      <w:r>
        <w:rPr>
          <w:rFonts w:ascii="Times New Roman" w:hAnsi="Times New Roman"/>
          <w:sz w:val="22"/>
        </w:rPr>
        <w:t>The analytic strategy comprises five sequential steps. Software for primary analyses: Mplus 8.10 or higher; for sensitivity and reproducibility checks: R 4.3+ with the "tidyLPA" package version 1.1 or higher.</w:t>
      </w:r>
    </w:p>
    <w:p>
      <w:pPr>
        <w:spacing w:after="160"/>
        <w:ind w:firstLine="283" w:left="170"/>
        <w:jc w:val="both"/>
      </w:pPr>
      <w:r>
        <w:rPr>
          <w:rFonts w:ascii="Times New Roman" w:hAnsi="Times New Roman"/>
          <w:i/>
          <w:color w:val="333333"/>
          <w:sz w:val="22"/>
        </w:rPr>
        <w:t>Quy trình phân tích gồm năm bước tuần tự. Phần mềm cho phân tích chính: Mplus 8.10 trở lên; cho kiểm tra độ nhạy và khả năng tái tạo: R 4.3 trở lên với gói "tidyLPA" phiên bản 1.1 trở lên.</w:t>
      </w:r>
    </w:p>
    <w:p>
      <w:pPr>
        <w:spacing w:after="80"/>
        <w:ind w:firstLine="283"/>
        <w:jc w:val="both"/>
      </w:pPr>
      <w:r>
        <w:rPr>
          <w:rFonts w:ascii="Times New Roman" w:hAnsi="Times New Roman"/>
          <w:sz w:val="22"/>
        </w:rPr>
        <w:t>Step 1 — Indicator preparation. Confirm indicator distributions are approximately normal (skewness and kurtosis within ±1). Check missing data patterns — LPA estimation handles missing data via full-information maximum likelihood (FIML). Apply T-score standardization (mean = 50, SD = 10) to each indicator for cross-indicator comparability.</w:t>
      </w:r>
    </w:p>
    <w:p>
      <w:pPr>
        <w:spacing w:after="160"/>
        <w:ind w:firstLine="283" w:left="170"/>
        <w:jc w:val="both"/>
      </w:pPr>
      <w:r>
        <w:rPr>
          <w:rFonts w:ascii="Times New Roman" w:hAnsi="Times New Roman"/>
          <w:i/>
          <w:color w:val="333333"/>
          <w:sz w:val="22"/>
        </w:rPr>
        <w:t>Bước 1 — Chuẩn bị chỉ báo. Xác nhận phân bố các chỉ báo gần với chuẩn (độ lệch và độ nhọn trong khoảng ±1). Kiểm tra mẫu hình dữ liệu khuyết — LPA xử lý dữ liệu khuyết qua ước lượng hợp lý cực đại thông tin đầy đủ (FIML). Áp dụng chuẩn hóa thang T-score (trung bình = 50, SD = 10) cho mỗi chỉ báo để so sánh giữa các chỉ báo.</w:t>
      </w:r>
    </w:p>
    <w:p>
      <w:pPr>
        <w:spacing w:after="80"/>
        <w:ind w:firstLine="283"/>
        <w:jc w:val="both"/>
      </w:pPr>
      <w:r>
        <w:rPr>
          <w:rFonts w:ascii="Times New Roman" w:hAnsi="Times New Roman"/>
          <w:sz w:val="22"/>
        </w:rPr>
        <w:t>Step 2 — Compare K-profile solutions. Estimate LPA with K = 2, 3, 4, 5, 6 profiles. Use maximum likelihood estimation with 500 random starts to avoid local maxima — the LPA likelihood surface is multimodal, and a single starting point may converge to a suboptimal solution. Each solution is estimated independently, then compared on multiple criteria.</w:t>
      </w:r>
    </w:p>
    <w:p>
      <w:pPr>
        <w:spacing w:after="160"/>
        <w:ind w:firstLine="283" w:left="170"/>
        <w:jc w:val="both"/>
      </w:pPr>
      <w:r>
        <w:rPr>
          <w:rFonts w:ascii="Times New Roman" w:hAnsi="Times New Roman"/>
          <w:i/>
          <w:color w:val="333333"/>
          <w:sz w:val="22"/>
        </w:rPr>
        <w:t>Bước 2 — So sánh các giải pháp K hồ sơ. Ước lượng LPA với K = 2, 3, 4, 5, 6 hồ sơ. Sử dụng ước lượng hợp lý cực đại với 500 điểm khởi đầu ngẫu nhiên để tránh cực đại địa phương — bề mặt hợp lý của LPA có nhiều đỉnh, và một điểm khởi đầu duy nhất có thể hội tụ về giải pháp dưới mức tối ưu. Mỗi giải pháp được ước lượng độc lập, rồi so sánh trên nhiều tiêu chí.</w:t>
      </w:r>
    </w:p>
    <w:p>
      <w:pPr>
        <w:spacing w:after="80"/>
        <w:ind w:firstLine="283"/>
        <w:jc w:val="both"/>
      </w:pPr>
      <w:r>
        <w:rPr>
          <w:rFonts w:ascii="Times New Roman" w:hAnsi="Times New Roman"/>
          <w:sz w:val="22"/>
        </w:rPr>
        <w:t>Step 3 — Model selection criteria following Nylund et al. (2007) recommendations. Compare four criteria: BIC (lower = better fit while penalizing complexity); AIC (lower = better fit; less penalizing than BIC); entropy (higher = clearer classification; aim for entropy ≥ 0.80 indicating most individuals are clearly assigned to one profile); Lo-Mendell-Rubin Likelihood Ratio Test (LMR-LRT; significant p-value indicates the K-profile model fits significantly better than the (K-1)-profile model). No single criterion dictates the final solution. We select K based on convergence across criteria combined with substantive interpretability of the resulting profiles.</w:t>
      </w:r>
    </w:p>
    <w:p>
      <w:pPr>
        <w:spacing w:after="160"/>
        <w:ind w:firstLine="283" w:left="170"/>
        <w:jc w:val="both"/>
      </w:pPr>
      <w:r>
        <w:rPr>
          <w:rFonts w:ascii="Times New Roman" w:hAnsi="Times New Roman"/>
          <w:i/>
          <w:color w:val="333333"/>
          <w:sz w:val="22"/>
        </w:rPr>
        <w:t>Bước 3 — Tiêu chí chọn mô hình theo khuyến nghị của Nylund và cs. (2007). So sánh bốn tiêu chí: BIC (thấp hơn = vừa hơn đồng thời phạt sự phức tạp); AIC (thấp hơn = vừa hơn; phạt ít hơn BIC); entropy (cao hơn = phân loại rõ ràng hơn; mục tiêu entropy ≥ 0,80 chỉ ra hầu hết cá nhân được gán rõ ràng vào một hồ sơ); Kiểm định Tỷ số Khả năng Lo-Mendell-Rubin (LMR-LRT; giá trị p có ý nghĩa thống kê chỉ ra mô hình K-hồ-sơ vừa hơn đáng kể so với mô hình (K-1)-hồ-sơ). Không tiêu chí nào quyết định một mình giải pháp cuối cùng. Chúng tôi chọn K dựa trên sự hội tụ qua các tiêu chí kết hợp với tính diễn giải thực chất của các hồ sơ kết quả.</w:t>
      </w:r>
    </w:p>
    <w:p>
      <w:pPr>
        <w:spacing w:after="80"/>
        <w:ind w:firstLine="283"/>
        <w:jc w:val="both"/>
      </w:pPr>
      <w:r>
        <w:rPr>
          <w:rFonts w:ascii="Times New Roman" w:hAnsi="Times New Roman"/>
          <w:sz w:val="22"/>
        </w:rPr>
        <w:t>Step 4 — Profile interpretation. For the selected optimal K, examine the standardized mean profile across all 10 indicators. Each profile is given a descriptive label that captures its key features (for example, "high academic stress + low self-esteem + moderate anxiety" → "achievement-driven profile"). Estimate profile prevalence (% of sample assigned to each profile).</w:t>
      </w:r>
    </w:p>
    <w:p>
      <w:pPr>
        <w:spacing w:after="160"/>
        <w:ind w:firstLine="283" w:left="170"/>
        <w:jc w:val="both"/>
      </w:pPr>
      <w:r>
        <w:rPr>
          <w:rFonts w:ascii="Times New Roman" w:hAnsi="Times New Roman"/>
          <w:i/>
          <w:color w:val="333333"/>
          <w:sz w:val="22"/>
        </w:rPr>
        <w:t>Bước 4 — Diễn giải hồ sơ. Với K tối ưu được chọn, kiểm tra trung bình chuẩn hóa của hồ sơ qua toàn bộ 10 chỉ báo. Mỗi hồ sơ được đặt một nhãn mô tả bắt được các đặc điểm chính (ví dụ "áp lực học tập cao + tự trọng thấp + lo âu vừa" → "hồ sơ theo đuổi thành tích"). Ước lượng tỷ lệ hồ sơ (% mẫu được gán vào mỗi hồ sơ).</w:t>
      </w:r>
    </w:p>
    <w:p>
      <w:pPr>
        <w:spacing w:after="80"/>
        <w:ind w:firstLine="283"/>
        <w:jc w:val="both"/>
      </w:pPr>
      <w:r>
        <w:rPr>
          <w:rFonts w:ascii="Times New Roman" w:hAnsi="Times New Roman"/>
          <w:sz w:val="22"/>
        </w:rPr>
        <w:t>Step 5 — External validation. Test profile membership differences against three external variables not used in profile estimation: gender (chi-square test of profile × gender distribution), grade (chi-square of profile × grade), and school (chi-square of profile × school). For each comparison, report cell percentages, standardized residuals, and Cohen's w effect size. Profiles with disproportionate representation of one sub-population merit special discussion.</w:t>
      </w:r>
    </w:p>
    <w:p>
      <w:pPr>
        <w:spacing w:after="160"/>
        <w:ind w:firstLine="283" w:left="170"/>
        <w:jc w:val="both"/>
      </w:pPr>
      <w:r>
        <w:rPr>
          <w:rFonts w:ascii="Times New Roman" w:hAnsi="Times New Roman"/>
          <w:i/>
          <w:color w:val="333333"/>
          <w:sz w:val="22"/>
        </w:rPr>
        <w:t>Bước 5 — Kiểm chứng bên ngoài. Kiểm chứng khác biệt thành viên hồ sơ với ba biến bên ngoài không được sử dụng trong việc ước lượng hồ sơ: giới (kiểm định chi-square về phân bố hồ sơ × giới), khối lớp (chi-square hồ sơ × khối lớp), và trường (chi-square hồ sơ × trường). Với mỗi so sánh, báo cáo phần trăm ô, phần dư chuẩn hóa, và hệ số ảnh hưởng Cohen's w. Các hồ sơ có đại diện không cân đối của một dân số con xứng đáng bàn luận đặc biệt.</w:t>
      </w:r>
    </w:p>
    <w:p>
      <w:pPr>
        <w:spacing w:before="200" w:after="80"/>
      </w:pPr>
      <w:r>
        <w:rPr>
          <w:rFonts w:ascii="Times New Roman" w:hAnsi="Times New Roman"/>
          <w:b/>
          <w:color w:val="2E74B5"/>
          <w:sz w:val="24"/>
        </w:rPr>
        <w:t>2.4. Ethics / Đạo đức nghiên cứu</w:t>
      </w:r>
    </w:p>
    <w:p>
      <w:pPr>
        <w:spacing w:after="80"/>
        <w:ind w:firstLine="283"/>
        <w:jc w:val="both"/>
      </w:pPr>
      <w:r>
        <w:rPr>
          <w:rFonts w:ascii="Times New Roman" w:hAnsi="Times New Roman"/>
          <w:sz w:val="22"/>
        </w:rPr>
        <w:t>Reuse Q2 v1 ethics section. Approval [TBD — pending official letter from HNUE Ethics Committee]. Pre-registration on Open Science Framework (OSF) completed prior to analysis; for LPA, pre-registration focuses on the analytic procedure (model selection criteria thresholds) rather than specific profile predictions, since LPA is exploratory by design.</w:t>
      </w:r>
    </w:p>
    <w:p>
      <w:pPr>
        <w:spacing w:after="160"/>
        <w:ind w:firstLine="283" w:left="170"/>
        <w:jc w:val="both"/>
      </w:pPr>
      <w:r>
        <w:rPr>
          <w:rFonts w:ascii="Times New Roman" w:hAnsi="Times New Roman"/>
          <w:i/>
          <w:color w:val="333333"/>
          <w:sz w:val="22"/>
        </w:rPr>
        <w:t>Sử dụng lại phần Đạo đức của Q2 v1. Phê duyệt [CHỜ XÁC NHẬN — chờ thư chính thức từ Hội đồng Đạo đức HNUE]. Đăng ký trước trên nền tảng Open Science Framework (OSF) hoàn thành trước phân tích; với LPA, đăng ký trước tập trung vào quy trình phân tích (ngưỡng các tiêu chí chọn mô hình) thay vì các dự đoán hồ sơ cụ thể, vì LPA về bản chất là thám sát.</w:t>
      </w:r>
    </w:p>
    <w:p>
      <w:pPr>
        <w:spacing w:before="320" w:after="160"/>
      </w:pPr>
      <w:r>
        <w:rPr>
          <w:rFonts w:ascii="Times New Roman" w:hAnsi="Times New Roman"/>
          <w:b/>
          <w:color w:val="C00000"/>
          <w:sz w:val="28"/>
        </w:rPr>
        <w:t>3. RESULTS — KẾT QUẢ (DỰ KIẾN)</w:t>
      </w:r>
    </w:p>
    <w:p>
      <w:pPr>
        <w:spacing w:before="200" w:after="80"/>
      </w:pPr>
      <w:r>
        <w:rPr>
          <w:rFonts w:ascii="Times New Roman" w:hAnsi="Times New Roman"/>
          <w:b/>
          <w:color w:val="2E74B5"/>
          <w:sz w:val="24"/>
        </w:rPr>
        <w:t>3.1. Indicator descriptives / Thống kê mô tả các chỉ báo</w:t>
      </w:r>
    </w:p>
    <w:p>
      <w:pPr>
        <w:spacing w:after="80"/>
        <w:ind w:firstLine="283"/>
        <w:jc w:val="both"/>
      </w:pPr>
      <w:r>
        <w:rPr>
          <w:rFonts w:ascii="Times New Roman" w:hAnsi="Times New Roman"/>
          <w:sz w:val="22"/>
        </w:rPr>
        <w:t>Table 1 presents means, SDs, skewness, kurtosis, and intercorrelations of the 10 indicator variables. We check for floor and ceiling effects, which can distort LPA estimation. Indicators with extreme skewness (|skew| &gt; 2) or kurtosis (|kurtosis| &gt; 7) are flagged for transformation consideration.</w:t>
      </w:r>
    </w:p>
    <w:p>
      <w:pPr>
        <w:spacing w:after="160"/>
        <w:ind w:firstLine="283" w:left="170"/>
        <w:jc w:val="both"/>
      </w:pPr>
      <w:r>
        <w:rPr>
          <w:rFonts w:ascii="Times New Roman" w:hAnsi="Times New Roman"/>
          <w:i/>
          <w:color w:val="333333"/>
          <w:sz w:val="22"/>
        </w:rPr>
        <w:t>Bảng 1 trình bày trung bình, SD, độ lệch, độ nhọn, và liên tương quan của 10 biến chỉ báo. Chúng tôi kiểm tra hiệu ứng sàn và trần, có thể làm méo việc ước lượng LPA. Các chỉ báo có độ lệch cực đoan (|độ lệch| &gt; 2) hoặc độ nhọn cực đoan (|độ nhọn| &gt; 7) sẽ được đánh dấu để cân nhắc chuyển đổi.</w:t>
      </w:r>
    </w:p>
    <w:p>
      <w:pPr>
        <w:spacing w:before="200" w:after="80"/>
      </w:pPr>
      <w:r>
        <w:rPr>
          <w:rFonts w:ascii="Times New Roman" w:hAnsi="Times New Roman"/>
          <w:b/>
          <w:color w:val="2E74B5"/>
          <w:sz w:val="24"/>
        </w:rPr>
        <w:t>3.2. LPA model selection / Chọn mô hình LPA</w:t>
      </w:r>
    </w:p>
    <w:p>
      <w:pPr>
        <w:spacing w:after="80"/>
        <w:ind w:firstLine="283"/>
        <w:jc w:val="both"/>
      </w:pPr>
      <w:r>
        <w:rPr>
          <w:rFonts w:ascii="Times New Roman" w:hAnsi="Times New Roman"/>
          <w:sz w:val="22"/>
        </w:rPr>
        <w:t>Table 2 reports BIC, AIC, entropy, LMR-LRT p-value, and smallest class % for K = 2, 3, 4, 5, 6 solutions. We also report convergence success rate (out of 500 random starts) for each K. Final K is determined by triangulation of criteria + interpretability. Based on prior LPA studies of adolescent mental health (which typically identify 3-6 profiles), we anticipate K = 4 or K = 5 to be optimal, but the exact K will be determined by the data.</w:t>
      </w:r>
    </w:p>
    <w:p>
      <w:pPr>
        <w:spacing w:after="160"/>
        <w:ind w:firstLine="283" w:left="170"/>
        <w:jc w:val="both"/>
      </w:pPr>
      <w:r>
        <w:rPr>
          <w:rFonts w:ascii="Times New Roman" w:hAnsi="Times New Roman"/>
          <w:i/>
          <w:color w:val="333333"/>
          <w:sz w:val="22"/>
        </w:rPr>
        <w:t>Bảng 2 báo cáo BIC, AIC, entropy, giá trị p của LMR-LRT, và % lớp nhỏ nhất cho các giải pháp K = 2, 3, 4, 5, 6. Chúng tôi cũng báo cáo tỷ lệ hội tụ thành công (trong 500 điểm khởi đầu ngẫu nhiên) cho mỗi K. K cuối cùng được xác định bằng triangulation các tiêu chí + tính diễn giải. Dựa trên các nghiên cứu LPA trước đó về sức khỏe tâm thần vị thành niên (thường nhận diện 3-6 hồ sơ), chúng tôi dự đoán K = 4 hoặc K = 5 sẽ tối ưu, nhưng K chính xác sẽ được dữ liệu xác định.</w:t>
      </w:r>
    </w:p>
    <w:p>
      <w:pPr>
        <w:spacing w:before="200" w:after="80"/>
      </w:pPr>
      <w:r>
        <w:rPr>
          <w:rFonts w:ascii="Times New Roman" w:hAnsi="Times New Roman"/>
          <w:b/>
          <w:color w:val="2E74B5"/>
          <w:sz w:val="24"/>
        </w:rPr>
        <w:t>3.3. Profile descriptions / Mô tả các hồ sơ</w:t>
      </w:r>
    </w:p>
    <w:p>
      <w:pPr>
        <w:spacing w:after="80"/>
        <w:ind w:firstLine="283"/>
        <w:jc w:val="both"/>
      </w:pPr>
      <w:r>
        <w:rPr>
          <w:rFonts w:ascii="Times New Roman" w:hAnsi="Times New Roman"/>
          <w:sz w:val="22"/>
        </w:rPr>
        <w:t>Figure 1 (a line graph or radar chart) displays the standardized mean profile across 10 indicators for each identified profile. Table 3 provides descriptive labels, prevalence percentages, and indicator-specific means and SDs for each profile. For example, an expected profile may be labeled "resilient majority" with low risk indicator means (T-score &lt; 45), high protective indicator means (T-score &gt; 55), and low anxiety subtype means.</w:t>
      </w:r>
    </w:p>
    <w:p>
      <w:pPr>
        <w:spacing w:after="160"/>
        <w:ind w:firstLine="283" w:left="170"/>
        <w:jc w:val="both"/>
      </w:pPr>
      <w:r>
        <w:rPr>
          <w:rFonts w:ascii="Times New Roman" w:hAnsi="Times New Roman"/>
          <w:i/>
          <w:color w:val="333333"/>
          <w:sz w:val="22"/>
        </w:rPr>
        <w:t>Hình 1 (đồ thị đường hoặc biểu đồ radar) thể hiện trung bình chuẩn hóa của hồ sơ qua 10 chỉ báo cho mỗi hồ sơ được nhận diện. Bảng 3 cung cấp các nhãn mô tả, phần trăm tỷ lệ, và trung bình + SD theo chỉ báo cho mỗi hồ sơ. Ví dụ, một hồ sơ dự kiến có thể được đặt nhãn "đa số kiên cường" với trung bình các chỉ báo nguy cơ thấp (T-score &lt; 45), trung bình các chỉ báo bảo vệ cao (T-score &gt; 55), và trung bình các phân loại lo âu thấp.</w:t>
      </w:r>
    </w:p>
    <w:p>
      <w:pPr>
        <w:spacing w:before="200" w:after="80"/>
      </w:pPr>
      <w:r>
        <w:rPr>
          <w:rFonts w:ascii="Times New Roman" w:hAnsi="Times New Roman"/>
          <w:b/>
          <w:color w:val="2E74B5"/>
          <w:sz w:val="24"/>
        </w:rPr>
        <w:t>3.4. External validation: gender, grade, school / Kiểm chứng bên ngoài: giới, khối lớp, trường</w:t>
      </w:r>
    </w:p>
    <w:p>
      <w:pPr>
        <w:spacing w:after="80"/>
        <w:ind w:firstLine="283"/>
        <w:jc w:val="both"/>
      </w:pPr>
      <w:r>
        <w:rPr>
          <w:rFonts w:ascii="Times New Roman" w:hAnsi="Times New Roman"/>
          <w:sz w:val="22"/>
        </w:rPr>
        <w:t>Chi-square tests examine profile membership distributions by gender, grade, and school. For each comparison, we report observed vs expected cell percentages, standardized residuals (|z| &gt; 2 flagged as substantively different), and Cohen's w effect size. Any profile that disproportionately contains one sub-population (for example, "peer-victimization profile" containing 70% girls and 30% boys when sample is 54.6% girls) is discussed in detail.</w:t>
      </w:r>
    </w:p>
    <w:p>
      <w:pPr>
        <w:spacing w:after="160"/>
        <w:ind w:firstLine="283" w:left="170"/>
        <w:jc w:val="both"/>
      </w:pPr>
      <w:r>
        <w:rPr>
          <w:rFonts w:ascii="Times New Roman" w:hAnsi="Times New Roman"/>
          <w:i/>
          <w:color w:val="333333"/>
          <w:sz w:val="22"/>
        </w:rPr>
        <w:t>Các kiểm định chi-square khảo sát phân bố thành viên hồ sơ theo giới, khối lớp, và trường. Với mỗi so sánh, chúng tôi báo cáo phần trăm ô quan sát được so với kỳ vọng, phần dư chuẩn hóa (|z| &gt; 2 đánh dấu là khác biệt thực chất), và hệ số ảnh hưởng Cohen's w. Bất kỳ hồ sơ nào chứa một dân số con không cân đối (ví dụ "hồ sơ nạn nhân hóa bởi bạn bè" chứa 70% nữ và 30% nam khi mẫu là 54,6% nữ) sẽ được bàn luận chi tiết.</w:t>
      </w:r>
    </w:p>
    <w:p>
      <w:pPr>
        <w:spacing w:before="200" w:after="80"/>
      </w:pPr>
      <w:r>
        <w:rPr>
          <w:rFonts w:ascii="Times New Roman" w:hAnsi="Times New Roman"/>
          <w:b/>
          <w:color w:val="2E74B5"/>
          <w:sz w:val="24"/>
        </w:rPr>
        <w:t>3.5. Profile-anxiety severity comparison / So sánh độ nặng lo âu giữa các hồ sơ</w:t>
      </w:r>
    </w:p>
    <w:p>
      <w:pPr>
        <w:spacing w:after="80"/>
        <w:ind w:firstLine="283"/>
        <w:jc w:val="both"/>
      </w:pPr>
      <w:r>
        <w:rPr>
          <w:rFonts w:ascii="Times New Roman" w:hAnsi="Times New Roman"/>
          <w:sz w:val="22"/>
        </w:rPr>
        <w:t>ANOVA compares raw RCADS GAD, SAD, and SocAD scores across profiles, with post-hoc Tukey comparisons. Eta-squared (η²) effect sizes quantify the proportion of anxiety variance explained by profile membership. We expect profiles to differ substantially on anxiety severity (η² &gt; 0.10) — confirming that the identified profiles have meaningful clinical relevance.</w:t>
      </w:r>
    </w:p>
    <w:p>
      <w:pPr>
        <w:spacing w:after="160"/>
        <w:ind w:firstLine="283" w:left="170"/>
        <w:jc w:val="both"/>
      </w:pPr>
      <w:r>
        <w:rPr>
          <w:rFonts w:ascii="Times New Roman" w:hAnsi="Times New Roman"/>
          <w:i/>
          <w:color w:val="333333"/>
          <w:sz w:val="22"/>
        </w:rPr>
        <w:t>ANOVA so sánh điểm thô RCADS GAD, SAD, và SocAD giữa các hồ sơ, với so sánh post-hoc Tukey. Hệ số ảnh hưởng eta-squared (η²) định lượng tỷ lệ phương sai lo âu được giải thích bởi việc thuộc hồ sơ. Chúng tôi kỳ vọng các hồ sơ khác biệt rõ rệt về độ nặng lo âu (η² &gt; 0,10) — xác nhận các hồ sơ được nhận diện có liên quan lâm sàng có ý nghĩa.</w:t>
      </w:r>
    </w:p>
    <w:p>
      <w:pPr>
        <w:spacing w:before="320" w:after="160"/>
      </w:pPr>
      <w:r>
        <w:rPr>
          <w:rFonts w:ascii="Times New Roman" w:hAnsi="Times New Roman"/>
          <w:b/>
          <w:color w:val="C00000"/>
          <w:sz w:val="28"/>
        </w:rPr>
        <w:t>4. DISCUSSION — BÀN LUẬN</w:t>
      </w:r>
    </w:p>
    <w:p>
      <w:pPr>
        <w:spacing w:before="200" w:after="80"/>
      </w:pPr>
      <w:r>
        <w:rPr>
          <w:rFonts w:ascii="Times New Roman" w:hAnsi="Times New Roman"/>
          <w:b/>
          <w:color w:val="2E74B5"/>
          <w:sz w:val="24"/>
        </w:rPr>
        <w:t>4.1. Summary of profiles / Tóm tắt các hồ sơ</w:t>
      </w:r>
    </w:p>
    <w:p>
      <w:pPr>
        <w:spacing w:after="80"/>
        <w:ind w:firstLine="283"/>
        <w:jc w:val="both"/>
      </w:pPr>
      <w:r>
        <w:rPr>
          <w:rFonts w:ascii="Times New Roman" w:hAnsi="Times New Roman"/>
          <w:sz w:val="22"/>
        </w:rPr>
        <w:t>We identified [TBD: K] distinct anxiety phenotype profiles in a sample of 1,352 Vietnamese lower secondary students using latent profile analysis. The profiles were [TBD: descriptive labels], with prevalences ranging from [TBD]% to [TBD]%. Profile membership was significantly associated with [TBD: gender / grade / school context]. Anxiety severity differed substantially across profiles (η² = [TBD]).</w:t>
      </w:r>
    </w:p>
    <w:p>
      <w:pPr>
        <w:spacing w:after="160"/>
        <w:ind w:firstLine="283" w:left="170"/>
        <w:jc w:val="both"/>
      </w:pPr>
      <w:r>
        <w:rPr>
          <w:rFonts w:ascii="Times New Roman" w:hAnsi="Times New Roman"/>
          <w:i/>
          <w:color w:val="333333"/>
          <w:sz w:val="22"/>
        </w:rPr>
        <w:t>Chúng tôi nhận diện được [CHỜ: K] hồ sơ phân loại lo âu riêng biệt trong mẫu 1.352 học sinh trung học cơ sở Việt Nam sử dụng phân tích hồ sơ tiềm ẩn. Các hồ sơ là [CHỜ: nhãn mô tả], với tỷ lệ dao động từ [CHỜ]% đến [CHỜ]%. Việc thuộc hồ sơ liên quan có ý nghĩa với [CHỜ: giới / khối lớp / bối cảnh trường]. Độ nặng lo âu khác biệt rõ rệt giữa các hồ sơ (η² = [CHỜ]).</w:t>
      </w:r>
    </w:p>
    <w:p>
      <w:pPr>
        <w:spacing w:before="200" w:after="80"/>
      </w:pPr>
      <w:r>
        <w:rPr>
          <w:rFonts w:ascii="Times New Roman" w:hAnsi="Times New Roman"/>
          <w:b/>
          <w:color w:val="2E74B5"/>
          <w:sz w:val="24"/>
        </w:rPr>
        <w:t>4.2. Theoretical contribution: complement to SEM (Q2/Q3) / Đóng góp lý thuyết: bổ sung cho SEM (Q2/Q3)</w:t>
      </w:r>
    </w:p>
    <w:p>
      <w:pPr>
        <w:spacing w:after="80"/>
        <w:ind w:firstLine="283"/>
        <w:jc w:val="both"/>
      </w:pPr>
      <w:r>
        <w:rPr>
          <w:rFonts w:ascii="Times New Roman" w:hAnsi="Times New Roman"/>
          <w:sz w:val="22"/>
        </w:rPr>
        <w:t>Our preceding Q2 paper used variable-centered SEM to identify which risk-protective pathways matter on average. Our Q3 paper used multi-group SEM to identify how those pathways differ by gender. The present Q4 paper uses LPA to identify how individual students cluster into qualitatively distinct types. The three perspectives together provide a comprehensive picture of Vietnamese adolescent anxiety that no single method achieves. Variable-centered findings tell us WHAT mechanisms matter; group-centered findings tell us FOR WHOM differently; person-centered findings tell us HOW students are typologized. As Marsh et al. (2009) argue, variable-centered and person-centered findings can converge (supporting interpretation) or diverge (suggesting heterogeneous mechanisms) — both outcomes are scientifically informative.</w:t>
      </w:r>
    </w:p>
    <w:p>
      <w:pPr>
        <w:spacing w:after="160"/>
        <w:ind w:firstLine="283" w:left="170"/>
        <w:jc w:val="both"/>
      </w:pPr>
      <w:r>
        <w:rPr>
          <w:rFonts w:ascii="Times New Roman" w:hAnsi="Times New Roman"/>
          <w:i/>
          <w:color w:val="333333"/>
          <w:sz w:val="22"/>
        </w:rPr>
        <w:t>Bài Q2 trước đó của chúng tôi sử dụng SEM lấy biến làm trung tâm để xác định các đường dẫn nguy cơ-bảo vệ nào quan trọng trung bình. Bài Q3 của chúng tôi sử dụng SEM đa nhóm để xác định các đường dẫn đó khác biệt theo giới như thế nào. Bài Q4 hiện tại sử dụng LPA để xác định các học sinh cá nhân gộp thành các loại khác biệt về định tính ra sao. Ba góc nhìn cùng nhau cung cấp bức tranh toàn diện về lo âu vị thành niên Việt Nam mà không phương pháp đơn lẻ nào đạt được. Các phát hiện lấy biến làm trung tâm cho biết NHỮNG cơ chế nào quan trọng; các phát hiện lấy nhóm làm trung tâm cho biết CHO AI khác nhau; các phát hiện lấy con người làm trung tâm cho biết các học sinh được phân loại NHƯ THẾ NÀO. Như Marsh và cs. (2009) lập luận, các phát hiện lấy biến và lấy con người làm trung tâm có thể hội tụ (hỗ trợ diễn giải) hoặc phân kỳ (gợi ý các cơ chế không đồng nhất) — cả hai kết quả đều có giá trị khoa học.</w:t>
      </w:r>
    </w:p>
    <w:p>
      <w:pPr>
        <w:spacing w:before="200" w:after="80"/>
      </w:pPr>
      <w:r>
        <w:rPr>
          <w:rFonts w:ascii="Times New Roman" w:hAnsi="Times New Roman"/>
          <w:b/>
          <w:color w:val="2E74B5"/>
          <w:sz w:val="24"/>
        </w:rPr>
        <w:t>4.3. Gender-role implications: co-rumination and profile distributions / Hàm ý vai trò giới: co-rumination và phân bố hồ sơ</w:t>
      </w:r>
    </w:p>
    <w:p>
      <w:pPr>
        <w:spacing w:after="80"/>
        <w:ind w:firstLine="283"/>
        <w:jc w:val="both"/>
      </w:pPr>
      <w:r>
        <w:rPr>
          <w:rFonts w:ascii="Times New Roman" w:hAnsi="Times New Roman"/>
          <w:sz w:val="22"/>
        </w:rPr>
        <w:t>Some profiles may show distinctive gender distributions consistent with co-rumination patterns documented by Rose (2002) and gender-role intensification at this developmental window (Hill &amp; Lynch 1983; Hankin et al. 2007; McLean &amp; Anderson 2009). For example, a "peer-victimization + low-school-membership" profile may over-represent girls, paralleling our Q3 findings on the bullying → SAD pathway being stronger in girls. Conversely, an "achievement-driven" profile may over-represent students of both genders but with distinctively gendered underlying mechanisms (girls' achievement anxiety driven by perfectionism + family expectations; boys' achievement anxiety driven by competitive comparison).</w:t>
      </w:r>
    </w:p>
    <w:p>
      <w:pPr>
        <w:spacing w:after="160"/>
        <w:ind w:firstLine="283" w:left="170"/>
        <w:jc w:val="both"/>
      </w:pPr>
      <w:r>
        <w:rPr>
          <w:rFonts w:ascii="Times New Roman" w:hAnsi="Times New Roman"/>
          <w:i/>
          <w:color w:val="333333"/>
          <w:sz w:val="22"/>
        </w:rPr>
        <w:t>Một số hồ sơ có thể thể hiện phân bố giới đặc trưng nhất quán với các mẫu hình co-rumination được Rose (2002) ghi nhận và sự gia tăng vai trò giới ở cửa sổ phát triển này (Hill &amp; Lynch 1983; Hankin và cs. 2007; McLean &amp; Anderson 2009). Ví dụ một hồ sơ "nạn nhân hóa bởi bạn bè + gắn bó trường thấp" có thể đại diện quá mức nữ, song song với các phát hiện Q3 của chúng tôi về đường dẫn bị bắt nạt → SAD mạnh hơn ở nữ. Ngược lại, một hồ sơ "theo đuổi thành tích" có thể đại diện quá mức học sinh cả hai giới nhưng với các cơ chế ẩn dưới mang tính giới đặc thù (lo âu thành tích của nữ được dẫn dắt bởi chủ nghĩa hoàn hảo + kỳ vọng gia đình; lo âu thành tích của nam được dẫn dắt bởi so sánh cạnh tranh).</w:t>
      </w:r>
    </w:p>
    <w:p>
      <w:pPr>
        <w:spacing w:before="200" w:after="80"/>
      </w:pPr>
      <w:r>
        <w:rPr>
          <w:rFonts w:ascii="Times New Roman" w:hAnsi="Times New Roman"/>
          <w:b/>
          <w:color w:val="2E74B5"/>
          <w:sz w:val="24"/>
        </w:rPr>
        <w:t>4.4. Cultural-developmental interpretation / Diễn giải văn hóa-phát triển</w:t>
      </w:r>
    </w:p>
    <w:p>
      <w:pPr>
        <w:spacing w:after="80"/>
        <w:ind w:firstLine="283"/>
        <w:jc w:val="both"/>
      </w:pPr>
      <w:r>
        <w:rPr>
          <w:rFonts w:ascii="Times New Roman" w:hAnsi="Times New Roman"/>
          <w:sz w:val="22"/>
        </w:rPr>
        <w:t>Reuse cultural framing from Q2 v1 Section 4.4 — tam giao (Buddhism + Confucianism + Taoism) + Confucian academic culture + co-rumination patterns. We interpret which identified profiles reflect typical Vietnamese socio-cultural niches. For example, an "achievement-driven" profile likely reflects the Confucian academic achievement script (Stankov 2010), particularly in girls who face dual pressure to excel academically AND conform to traditional female roles. A "high-peer-victimization + low-school-membership" profile reflects the breakdown of the Confucian ideal of harmonious school community — a normative ideal that, when violated, may produce particularly intense distress because it conflicts with cultural expectations.</w:t>
      </w:r>
    </w:p>
    <w:p>
      <w:pPr>
        <w:spacing w:after="160"/>
        <w:ind w:firstLine="283" w:left="170"/>
        <w:jc w:val="both"/>
      </w:pPr>
      <w:r>
        <w:rPr>
          <w:rFonts w:ascii="Times New Roman" w:hAnsi="Times New Roman"/>
          <w:i/>
          <w:color w:val="333333"/>
          <w:sz w:val="22"/>
        </w:rPr>
        <w:t>Sử dụng lại khung văn hóa từ Q2 v1 Section 4.4 — tam giáo (Phật + Nho + Đạo) + văn hóa học thuật Nho giáo + các mẫu hình co-rumination. Chúng tôi diễn giải các hồ sơ được nhận diện phản ánh các vị thế xã hội-văn hóa Việt Nam điển hình. Ví dụ một hồ sơ "theo đuổi thành tích" có thể phản ánh kịch bản thành tích học thuật Nho giáo (Stankov 2010), đặc biệt ở nữ — những người chịu áp lực kép phải xuất sắc về học tập VÀ phải tuân theo các vai trò nữ truyền thống. Một hồ sơ "bị bắt nạt từ bạn bè cao + gắn bó trường thấp" phản ánh sự đổ vỡ của lý tưởng Nho giáo về cộng đồng trường học hài hòa — một lý tưởng chuẩn mực mà khi bị vi phạm có thể tạo ra đau khổ đặc biệt mãnh liệt vì xung đột với kỳ vọng văn hóa.</w:t>
      </w:r>
    </w:p>
    <w:p>
      <w:pPr>
        <w:spacing w:before="200" w:after="80"/>
      </w:pPr>
      <w:r>
        <w:rPr>
          <w:rFonts w:ascii="Times New Roman" w:hAnsi="Times New Roman"/>
          <w:b/>
          <w:color w:val="2E74B5"/>
          <w:sz w:val="24"/>
        </w:rPr>
        <w:t>4.5. Practical implications: profile-tailored intervention / Hàm ý thực tiễn: can thiệp đặc thù theo hồ sơ</w:t>
      </w:r>
    </w:p>
    <w:p>
      <w:pPr>
        <w:spacing w:after="80"/>
        <w:ind w:firstLine="283"/>
        <w:jc w:val="both"/>
      </w:pPr>
      <w:r>
        <w:rPr>
          <w:rFonts w:ascii="Times New Roman" w:hAnsi="Times New Roman"/>
          <w:sz w:val="22"/>
        </w:rPr>
        <w:t>Each identified profile suggests a different intervention package. For the resilient majority: universal psycho-education on stress management and emotion regulation, delivered school-wide via existing health curriculum. For the achievement-driven profile: cognitive-behavioral reframing of academic pressure + self-compassion practice + parent psycho-education on healthy expectations. For the peer-victimization profile: targeted anti-bullying program + assertiveness training + school climate intervention. For the digital-isolation profile: parental engagement program + structured screen-time management + offline social skills training. For the severe-anxiety profile: clinical referral for individualized psychological assessment and intervention.</w:t>
      </w:r>
    </w:p>
    <w:p>
      <w:pPr>
        <w:spacing w:after="160"/>
        <w:ind w:firstLine="283" w:left="170"/>
        <w:jc w:val="both"/>
      </w:pPr>
      <w:r>
        <w:rPr>
          <w:rFonts w:ascii="Times New Roman" w:hAnsi="Times New Roman"/>
          <w:i/>
          <w:color w:val="333333"/>
          <w:sz w:val="22"/>
        </w:rPr>
        <w:t>Mỗi hồ sơ được nhận diện gợi ý một gói can thiệp khác nhau. Với đa số kiên cường: giáo dục tâm lý phổ quát về quản lý stress và điều tiết cảm xúc, triển khai toàn trường qua chương trình sức khỏe hiện có. Với hồ sơ theo đuổi thành tích: tái cấu trúc nhận thức-hành vi về áp lực học tập + thực hành lòng tự trắc ẩn + giáo dục tâm lý cho cha mẹ về kỳ vọng lành mạnh. Với hồ sơ nạn nhân hóa bởi bạn bè: chương trình chống bắt nạt có mục tiêu + huấn luyện sự quyết đoán + can thiệp môi trường trường học. Với hồ sơ cô lập số: chương trình kết nối cha mẹ + quản lý thời gian màn hình có cấu trúc + huấn luyện kỹ năng xã hội ngoại tuyến. Với hồ sơ lo âu nặng: chuyển tuyến lâm sàng để đánh giá và can thiệp tâm lý cá nhân hóa.</w:t>
      </w:r>
    </w:p>
    <w:p>
      <w:pPr>
        <w:spacing w:before="200" w:after="80"/>
      </w:pPr>
      <w:r>
        <w:rPr>
          <w:rFonts w:ascii="Times New Roman" w:hAnsi="Times New Roman"/>
          <w:b/>
          <w:color w:val="2E74B5"/>
          <w:sz w:val="24"/>
        </w:rPr>
        <w:t>4.6. Limitations / Hạn chế</w:t>
      </w:r>
    </w:p>
    <w:p>
      <w:pPr>
        <w:spacing w:after="80"/>
        <w:ind w:firstLine="283"/>
        <w:jc w:val="both"/>
      </w:pPr>
      <w:r>
        <w:rPr>
          <w:rFonts w:ascii="Times New Roman" w:hAnsi="Times New Roman"/>
          <w:sz w:val="22"/>
        </w:rPr>
        <w:t>Four major limitations. First, cross-sectional design means profiles are snapshots; transitions between profiles over time cannot be tested. Second, LPA assumes within-profile homogeneity, but within-profile variability may still be substantial; some students assigned to a profile may not fit it well. Third, profile replicability requires testing in external samples — single-sample LPA findings are inherently provisional. Fourth, model selection criteria (LMR-LRT, BIC, AIC, entropy) may disagree, and final K selection retains an irreducible subjective element.</w:t>
      </w:r>
    </w:p>
    <w:p>
      <w:pPr>
        <w:spacing w:after="160"/>
        <w:ind w:firstLine="283" w:left="170"/>
        <w:jc w:val="both"/>
      </w:pPr>
      <w:r>
        <w:rPr>
          <w:rFonts w:ascii="Times New Roman" w:hAnsi="Times New Roman"/>
          <w:i/>
          <w:color w:val="333333"/>
          <w:sz w:val="22"/>
        </w:rPr>
        <w:t>Bốn hạn chế chính. Thứ nhất, thiết kế cắt ngang có nghĩa các hồ sơ là ảnh chụp nhanh; các chuyển tiếp giữa các hồ sơ theo thời gian không thể kiểm chứng được. Thứ hai, LPA giả định tính đồng nhất trong hồ sơ, nhưng biến thiên trong hồ sơ có thể vẫn đáng kể; một số học sinh được gán vào một hồ sơ có thể không phù hợp với nó. Thứ ba, khả năng tái tạo hồ sơ đòi hỏi kiểm chứng trên các mẫu bên ngoài — các phát hiện LPA từ một mẫu duy nhất về bản chất là tạm thời. Thứ tư, các tiêu chí chọn mô hình (LMR-LRT, BIC, AIC, entropy) có thể không nhất quán, và việc chọn K cuối cùng vẫn giữ lại một yếu tố chủ quan không thể loại bỏ.</w:t>
      </w:r>
    </w:p>
    <w:p>
      <w:pPr>
        <w:spacing w:before="200" w:after="80"/>
      </w:pPr>
      <w:r>
        <w:rPr>
          <w:rFonts w:ascii="Times New Roman" w:hAnsi="Times New Roman"/>
          <w:b/>
          <w:color w:val="2E74B5"/>
          <w:sz w:val="24"/>
        </w:rPr>
        <w:t>4.7. Future directions / Hướng nghiên cứu tiếp theo</w:t>
      </w:r>
    </w:p>
    <w:p>
      <w:pPr>
        <w:spacing w:after="80"/>
        <w:ind w:firstLine="283"/>
        <w:jc w:val="both"/>
      </w:pPr>
      <w:r>
        <w:rPr>
          <w:rFonts w:ascii="Times New Roman" w:hAnsi="Times New Roman"/>
          <w:sz w:val="22"/>
        </w:rPr>
        <w:t>Three priorities. First, latent transition analysis (LTA) on a longitudinal extension of the cohort would test profile stability over time — do students remain in their profile, or do many transition (e.g., from resilient majority to achievement-driven during high-stakes exam years)? Second, replication of LPA findings in rural Vietnamese and ethnic-minority cohorts would test generalizability beyond urban-suburban Hanoi. Third, linking profiles to objective outcomes — school attendance, academic performance, healthcare utilization, peer sociometric ratings — would establish the external validity of the identified profiles and strengthen the case for profile-tailored intervention.</w:t>
      </w:r>
    </w:p>
    <w:p>
      <w:pPr>
        <w:spacing w:after="160"/>
        <w:ind w:firstLine="283" w:left="170"/>
        <w:jc w:val="both"/>
      </w:pPr>
      <w:r>
        <w:rPr>
          <w:rFonts w:ascii="Times New Roman" w:hAnsi="Times New Roman"/>
          <w:i/>
          <w:color w:val="333333"/>
          <w:sz w:val="22"/>
        </w:rPr>
        <w:t>Ba ưu tiên. Thứ nhất, phân tích chuyển tiếp tiềm ẩn (LTA — Latent Transition Analysis) trên một phần mở rộng dọc của cohort sẽ kiểm chứng độ ổn định hồ sơ theo thời gian — học sinh có ở lại trong hồ sơ của họ không, hay nhiều người chuyển tiếp (ví dụ từ đa số kiên cường sang theo đuổi thành tích trong các năm thi cử quan trọng)? Thứ hai, lặp lại các phát hiện LPA trên các cohort Việt Nam ở nông thôn và dân tộc thiểu số sẽ kiểm chứng tính tổng quát ngoài Hà Nội đô thị-ngoại ô. Thứ ba, liên kết các hồ sơ với các kết quả khách quan — chuyên cần, thành tích học tập, sử dụng dịch vụ y tế, xếp hạng xã hội từ bạn bè — sẽ thiết lập giá trị bên ngoài của các hồ sơ được nhận diện và củng cố lý do cho can thiệp đặc thù theo hồ sơ.</w:t>
      </w:r>
    </w:p>
    <w:p>
      <w:pPr>
        <w:spacing w:before="320" w:after="160"/>
      </w:pPr>
      <w:r>
        <w:rPr>
          <w:rFonts w:ascii="Times New Roman" w:hAnsi="Times New Roman"/>
          <w:b/>
          <w:color w:val="C00000"/>
          <w:sz w:val="28"/>
        </w:rPr>
        <w:t>5. REFERENCES — TÀI LIỆU THAM KHẢO</w:t>
      </w:r>
    </w:p>
    <w:p>
      <w:pPr>
        <w:spacing w:after="80"/>
        <w:ind w:left="425" w:hanging="425"/>
      </w:pPr>
      <w:r>
        <w:rPr>
          <w:rFonts w:ascii="Times New Roman" w:hAnsi="Times New Roman"/>
          <w:sz w:val="20"/>
        </w:rPr>
        <w:t>[1] Hankin BL, Mermelstein R, Roesch L. (2007). Sex differences in adolescent depression: Stress exposure and reactivity models. Child Development 78(1):279-295. PMID: 17328705.</w:t>
      </w:r>
    </w:p>
    <w:p>
      <w:pPr>
        <w:spacing w:after="80"/>
        <w:ind w:left="425" w:hanging="425"/>
      </w:pPr>
      <w:r>
        <w:rPr>
          <w:rFonts w:ascii="Times New Roman" w:hAnsi="Times New Roman"/>
          <w:sz w:val="20"/>
        </w:rPr>
        <w:t>[2] McLean CP, Anderson ER. (2009). Brave men and timid women? A review of the gender differences in fear and anxiety. Clinical Psychology Review 29(6):496-505. PMID: 19541399.</w:t>
      </w:r>
    </w:p>
    <w:p>
      <w:pPr>
        <w:spacing w:after="80"/>
        <w:ind w:left="425" w:hanging="425"/>
      </w:pPr>
      <w:r>
        <w:rPr>
          <w:rFonts w:ascii="Times New Roman" w:hAnsi="Times New Roman"/>
          <w:sz w:val="20"/>
        </w:rPr>
        <w:t>[3] Kessler RC, Berglund P, Demler O, Jin R, Merikangas KR, Walters EE. (2005). Lifetime prevalence and age-of-onset distributions of DSM-IV disorders in the National Comorbidity Survey Replication. Archives of General Psychiatry 62(6):593-602. PMID: 15939837.</w:t>
      </w:r>
    </w:p>
    <w:p>
      <w:pPr>
        <w:spacing w:after="80"/>
        <w:ind w:left="425" w:hanging="425"/>
      </w:pPr>
      <w:r>
        <w:rPr>
          <w:rFonts w:ascii="Times New Roman" w:hAnsi="Times New Roman"/>
          <w:sz w:val="20"/>
        </w:rPr>
        <w:t>[4] Rose AJ. (2002). Co-rumination in the friendships of girls and boys. Child Development 73(6):1830-1843. PMID: 12487497. DOI: 10.1111/1467-8624.00509.</w:t>
      </w:r>
    </w:p>
    <w:p>
      <w:pPr>
        <w:spacing w:after="80"/>
        <w:ind w:left="425" w:hanging="425"/>
      </w:pPr>
      <w:r>
        <w:rPr>
          <w:rFonts w:ascii="Times New Roman" w:hAnsi="Times New Roman"/>
          <w:sz w:val="20"/>
        </w:rPr>
        <w:t>[5] Stankov L. (2010). Unforgiving Confucian culture: A breeding ground for high academic achievement, test anxiety and self-doubt? Learning and Individual Differences 20(6):555-563. DOI: 10.1016/j.lindif.2010.05.003.</w:t>
      </w:r>
    </w:p>
    <w:p>
      <w:pPr>
        <w:spacing w:after="80"/>
        <w:ind w:left="425" w:hanging="425"/>
      </w:pPr>
      <w:r>
        <w:rPr>
          <w:rFonts w:ascii="Times New Roman" w:hAnsi="Times New Roman"/>
          <w:sz w:val="20"/>
        </w:rPr>
        <w:t>[6] Small S, Blanc J. (2021). Mental Health During COVID-19: Tam Giao and Vietnam's Response. Frontiers in Psychiatry 11:589618. PMID: 33536961. DOI: 10.3389/fpsyt.2020.589618.</w:t>
      </w:r>
    </w:p>
    <w:p>
      <w:pPr>
        <w:spacing w:after="80"/>
        <w:ind w:left="425" w:hanging="425"/>
      </w:pPr>
      <w:r>
        <w:rPr>
          <w:rFonts w:ascii="Times New Roman" w:hAnsi="Times New Roman"/>
          <w:sz w:val="20"/>
        </w:rPr>
        <w:t>[7] Hill JP, Lynch ME. (1983). The intensification of gender-related role expectations during early adolescence. In: Brooks-Gunn J, Petersen AC (eds.), Girls at puberty. New York: Plenum Press, pp. 201-228.</w:t>
      </w:r>
    </w:p>
    <w:p>
      <w:pPr>
        <w:spacing w:after="80"/>
        <w:ind w:left="425" w:hanging="425"/>
      </w:pPr>
      <w:r>
        <w:rPr>
          <w:rFonts w:ascii="Times New Roman" w:hAnsi="Times New Roman"/>
          <w:sz w:val="20"/>
        </w:rPr>
        <w:t>[8] Bauer DJ. (2007). Observations on the use of growth mixture models in psychological research. Multivariate Behavioral Research 42(4):757-786. DOI: 10.1080/00273170701710338.</w:t>
      </w:r>
    </w:p>
    <w:p>
      <w:pPr>
        <w:spacing w:after="80"/>
        <w:ind w:left="425" w:hanging="425"/>
      </w:pPr>
      <w:r>
        <w:rPr>
          <w:rFonts w:ascii="Times New Roman" w:hAnsi="Times New Roman"/>
          <w:sz w:val="20"/>
        </w:rPr>
        <w:t>[9] Lanza ST, Cooper BR. (2016). Latent class analysis for developmental research. Child Development Perspectives 10(1):59-64. DOI: 10.1111/cdep.12163.</w:t>
      </w:r>
    </w:p>
    <w:p>
      <w:pPr>
        <w:spacing w:after="80"/>
        <w:ind w:left="425" w:hanging="425"/>
      </w:pPr>
      <w:r>
        <w:rPr>
          <w:rFonts w:ascii="Times New Roman" w:hAnsi="Times New Roman"/>
          <w:sz w:val="20"/>
        </w:rPr>
        <w:t>[10] Marsh HW, Lüdtke O, Trautwein U, Morin AJS. (2009). Classical latent profile analysis of academic self-concept dimensions: Synergy of person- and variable-centered approaches. Structural Equation Modeling 16(2):191-225. DOI: 10.1080/10705510902751010.</w:t>
      </w:r>
    </w:p>
    <w:p>
      <w:pPr>
        <w:spacing w:after="80"/>
        <w:ind w:left="425" w:hanging="425"/>
      </w:pPr>
      <w:r>
        <w:rPr>
          <w:rFonts w:ascii="Times New Roman" w:hAnsi="Times New Roman"/>
          <w:sz w:val="20"/>
        </w:rPr>
        <w:t>[11] Nylund KL, Asparouhov T, Muthén BO. (2007). Deciding on the number of classes in latent class analysis and growth mixture modeling: A Monte Carlo simulation study. Structural Equation Modeling 14(4):535-569. DOI: 10.1080/10705510701575396.</w:t>
      </w:r>
    </w:p>
    <w:p>
      <w:pPr>
        <w:spacing w:after="80"/>
        <w:ind w:left="425" w:hanging="425"/>
      </w:pPr>
      <w:r>
        <w:rPr>
          <w:rFonts w:ascii="Times New Roman" w:hAnsi="Times New Roman"/>
          <w:sz w:val="20"/>
        </w:rPr>
        <w:t>[12] Jefferies P, Ungar M. (2020). Social anxiety in young people: A prevalence study in seven countries. PLOS ONE 15(9):e0239133. DOI: 10.1371/journal.pone.0239133.</w:t>
      </w:r>
    </w:p>
    <w:p>
      <w:pPr>
        <w:spacing w:after="80"/>
        <w:ind w:left="425" w:hanging="425"/>
      </w:pPr>
      <w:r>
        <w:rPr>
          <w:rFonts w:ascii="Times New Roman" w:hAnsi="Times New Roman"/>
          <w:sz w:val="20"/>
        </w:rPr>
        <w:t>[13] Compas BE, Jaser SS, Bettis AH, et al. (2017). Coping, emotion regulation, and psychopathology in childhood and adolescence: A meta-analysis and narrative review. Psychological Bulletin 143(9):939-991. PMID: 28616996.</w:t>
      </w: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
  <Company/>
  <Manager/>
  <DocSecurity>0</DocSecurity>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subject/>
  <dc:description/>
  <cp:keywords/>
  <cp:lastModifiedBy/>
  <cp:category/>
  <cp:contentStatus/>
  <cp:revision>1</cp:revision>
  <dc:identifier/>
  <cp:version/>
</cp:coreProperties>
</file>