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0"/>
        </w:rPr>
        <w:t>OUTLINE IMRaD — BÀI Q4</w:t>
      </w:r>
    </w:p>
    <w:p>
      <w:pPr>
        <w:spacing w:before="400" w:after="240"/>
        <w:jc w:val="center"/>
      </w:pPr>
      <w:r>
        <w:rPr>
          <w:rFonts w:ascii="Times New Roman" w:hAnsi="Times New Roman"/>
          <w:b/>
          <w:color w:val="1F4E79"/>
          <w:sz w:val="30"/>
        </w:rPr>
        <w:t>Anxiety phenotype profiles in Vietnamese lower secondary students: A latent profile analysis with risk-protective indicator integration</w:t>
      </w:r>
    </w:p>
    <w:p>
      <w:pPr>
        <w:jc w:val="center"/>
      </w:pPr>
      <w:r>
        <w:rPr>
          <w:rFonts w:ascii="Times New Roman" w:hAnsi="Times New Roman"/>
          <w:i/>
          <w:sz w:val="24"/>
        </w:rPr>
        <w:t>Hồ sơ phân loại lo âu ở học sinh trung học cơ sở Việt Nam: Phân tích hồ sơ tiềm ẩn tích hợp các chỉ báo nguy cơ và bảo vệ</w:t>
      </w:r>
    </w:p>
    <w:p>
      <w:pPr>
        <w:jc w:val="center"/>
      </w:pPr>
      <w:r>
        <w:rPr>
          <w:rFonts w:ascii="Times New Roman" w:hAnsi="Times New Roman"/>
          <w:i/>
          <w:color w:val="808080"/>
          <w:sz w:val="20"/>
        </w:rPr>
        <w:t>Outline song ngữ Anh-Việt v1 — soạn 08/06/2026 — kế hoạch năm 2027</w:t>
      </w:r>
    </w:p>
    <w:p>
      <w:pPr>
        <w:spacing w:before="120" w:after="120"/>
        <w:ind w:left="283" w:right="283"/>
      </w:pPr>
      <w:r>
        <w:rPr>
          <w:rFonts w:ascii="Times New Roman" w:hAnsi="Times New Roman"/>
          <w:b/>
          <w:color w:val="006E2E"/>
          <w:sz w:val="20"/>
        </w:rPr>
        <w:t>[NOTE TO NCS + co-authors] This is an IMRaD outline (structure + key claims, not full prose). Authors: Cong TH (1st), [Nguyen MD], Hai-Nguyen Minh. Target journal: Journal of Psychopathology and Behavioral Assessment OR BMC Psychiatry. Q4 is planned for 2027 (after Q2 + Q3 published), pending data sufficiency. Word target full draft: 7,000-8,500.</w:t>
      </w:r>
    </w:p>
    <w:p>
      <w:pPr>
        <w:spacing w:after="200"/>
        <w:ind w:left="283" w:right="283"/>
      </w:pPr>
      <w:r>
        <w:rPr>
          <w:rFonts w:ascii="Times New Roman" w:hAnsi="Times New Roman"/>
          <w:b/>
          <w:i/>
          <w:color w:val="006E2E"/>
          <w:sz w:val="20"/>
        </w:rPr>
        <w:t>[GHI CHÚ cho NCS + đồng tác giả] Đây là outline IMRaD (cấu trúc + luận điểm chính, không phải bản thảo đầy đủ). Tác giả: Công TH (chủ trì), [Nguyễn MD], Hải-Nguyễn Minh. Tạp chí đích: Journal of Psychopathology and Behavioral Assessment HOẶC BMC Psychiatry. Q4 dự kiến năm 2027 (sau khi Q2 + Q3 đã công bố), tùy theo độ đủ dữ liệu. Word target draft đầy đủ: 7.000-8.500 từ.</w:t>
      </w:r>
    </w:p>
    <w:p>
      <w:pPr>
        <w:spacing w:before="320" w:after="160"/>
      </w:pPr>
      <w:r>
        <w:rPr>
          <w:rFonts w:ascii="Times New Roman" w:hAnsi="Times New Roman"/>
          <w:b/>
          <w:color w:val="C00000"/>
          <w:sz w:val="28"/>
        </w:rPr>
        <w:t>ABSTRACT (300 words target)</w:t>
      </w:r>
    </w:p>
    <w:p>
      <w:pPr>
        <w:spacing w:before="200" w:after="80"/>
      </w:pPr>
      <w:r>
        <w:rPr>
          <w:rFonts w:ascii="Times New Roman" w:hAnsi="Times New Roman"/>
          <w:b/>
          <w:color w:val="2E74B5"/>
          <w:sz w:val="24"/>
        </w:rPr>
        <w:t>Background</w:t>
      </w:r>
    </w:p>
    <w:p>
      <w:pPr>
        <w:spacing w:after="80"/>
        <w:ind w:firstLine="283"/>
        <w:jc w:val="both"/>
      </w:pPr>
      <w:r>
        <w:rPr>
          <w:rFonts w:ascii="Times New Roman" w:hAnsi="Times New Roman"/>
          <w:sz w:val="22"/>
        </w:rPr>
        <w:t>Variable-centered analyses (SEM in our Q2 and Q3) test how risk and protective factors RELATE to anxiety outcomes, but cannot detect whether students cluster into distinct "phenotype profiles" — qualitatively different patterns of risk-protective configurations. Person-centered methods such as Latent Profile Analysis (LPA) complement variable-centered approaches by identifying unobserved subgroups within the population. To date, LPA-based phenotyping of adolescent anxiety has not been applied to Vietnamese cohorts.</w:t>
      </w:r>
    </w:p>
    <w:p>
      <w:pPr>
        <w:spacing w:after="160"/>
        <w:ind w:firstLine="283" w:left="170"/>
        <w:jc w:val="both"/>
      </w:pPr>
      <w:r>
        <w:rPr>
          <w:rFonts w:ascii="Times New Roman" w:hAnsi="Times New Roman"/>
          <w:i/>
          <w:color w:val="333333"/>
          <w:sz w:val="22"/>
        </w:rPr>
        <w:t>Các phân tích lấy biến làm trung tâm (SEM trong Q2 và Q3 của chúng tôi) kiểm chứng cách các yếu tố nguy cơ và bảo vệ LIÊN QUAN tới các kết quả lo âu, nhưng không phát hiện được liệu học sinh có gộp thành các "hồ sơ phân loại" riêng biệt hay không — các mẫu hình cấu hình nguy cơ-bảo vệ khác nhau về mặt định tính. Các phương pháp lấy con người làm trung tâm như Phân tích Hồ sơ Tiềm ẩn (LPA) bổ sung cho cách tiếp cận lấy biến làm trung tâm bằng cách nhận diện các nhóm con không quan sát được trong dân số. Cho đến nay, phân loại hồ sơ lo âu vị thành niên dựa trên LPA chưa được áp dụng cho cohort Việt Nam.</w:t>
      </w:r>
    </w:p>
    <w:p>
      <w:pPr>
        <w:spacing w:before="200" w:after="80"/>
      </w:pPr>
      <w:r>
        <w:rPr>
          <w:rFonts w:ascii="Times New Roman" w:hAnsi="Times New Roman"/>
          <w:b/>
          <w:color w:val="2E74B5"/>
          <w:sz w:val="24"/>
        </w:rPr>
        <w:t>Methods</w:t>
      </w:r>
    </w:p>
    <w:p>
      <w:pPr>
        <w:spacing w:after="80"/>
        <w:ind w:firstLine="283"/>
        <w:jc w:val="both"/>
      </w:pPr>
      <w:r>
        <w:rPr>
          <w:rFonts w:ascii="Times New Roman" w:hAnsi="Times New Roman"/>
          <w:sz w:val="22"/>
        </w:rPr>
        <w:t>Cross-sectional survey of 1,352 Vietnamese lower secondary students (same dataset as Q2 and Q3). Ten indicator variables (three risk factors, four protective factors, three DSM-5 anxiety subtype scores) were submitted to LPA. Models with K = 2, 3, 4, 5, 6 profiles were compared using BIC, AIC, entropy, and Lo-Mendell-Rubin Likelihood Ratio Test (LMR-LRT). The optimal solution was interpreted substantively and externally validated against gender, grade, and school distributions.</w:t>
      </w:r>
    </w:p>
    <w:p>
      <w:pPr>
        <w:spacing w:after="160"/>
        <w:ind w:firstLine="283" w:left="170"/>
        <w:jc w:val="both"/>
      </w:pPr>
      <w:r>
        <w:rPr>
          <w:rFonts w:ascii="Times New Roman" w:hAnsi="Times New Roman"/>
          <w:i/>
          <w:color w:val="333333"/>
          <w:sz w:val="22"/>
        </w:rPr>
        <w:t>Khảo sát cắt ngang 1.352 học sinh THCS Việt Nam (cùng bộ dữ liệu với Q2 và Q3). Mười biến chỉ báo (ba yếu tố nguy cơ, bốn yếu tố bảo vệ, ba điểm phân loại lo âu DSM-5) được đưa vào LPA. Mô hình K = 2, 3, 4, 5, 6 hồ sơ được so sánh sử dụng BIC, AIC, entropy, và Kiểm định Lo-Mendell-Rubin (LMR-LRT). Giải pháp tối ưu được diễn giải về mặt thực chất và validated bên ngoài qua phân bố giới, khối lớp, và trường học.</w:t>
      </w:r>
    </w:p>
    <w:p>
      <w:pPr>
        <w:spacing w:before="200" w:after="80"/>
      </w:pPr>
      <w:r>
        <w:rPr>
          <w:rFonts w:ascii="Times New Roman" w:hAnsi="Times New Roman"/>
          <w:b/>
          <w:color w:val="2E74B5"/>
          <w:sz w:val="24"/>
        </w:rPr>
        <w:t>Results (planned)</w:t>
      </w:r>
    </w:p>
    <w:p>
      <w:pPr>
        <w:spacing w:after="80"/>
        <w:ind w:firstLine="283"/>
        <w:jc w:val="both"/>
      </w:pPr>
      <w:r>
        <w:rPr>
          <w:rFonts w:ascii="Times New Roman" w:hAnsi="Times New Roman"/>
          <w:sz w:val="22"/>
        </w:rPr>
        <w:t>We anticipate identifying 4-5 distinct anxiety phenotype profiles — for example: (1) low-risk + high-protective + low-anxiety (resilient majority), (2) high-academic-stress + low-self-esteem + moderate-anxiety (achievement-driven), (3) high-bullying + low-school-membership + high-SAD (peer-victimization profile), (4) high-smartphone + low-parental-support + moderate-SocAD (digital-isolation), and possibly a (5) high-on-all-risk + low-on-all-protective + severe-anxiety profile. Profile distributions will be tested for gender, grade, and school differences.</w:t>
      </w:r>
    </w:p>
    <w:p>
      <w:pPr>
        <w:spacing w:after="160"/>
        <w:ind w:firstLine="283" w:left="170"/>
        <w:jc w:val="both"/>
      </w:pPr>
      <w:r>
        <w:rPr>
          <w:rFonts w:ascii="Times New Roman" w:hAnsi="Times New Roman"/>
          <w:i/>
          <w:color w:val="333333"/>
          <w:sz w:val="22"/>
        </w:rPr>
        <w:t>Chúng tôi kỳ vọng nhận diện được 4-5 hồ sơ phân loại lo âu riêng biệt — ví dụ: (1) thấp nguy cơ + cao bảo vệ + thấp lo âu (đa số kiên cường), (2) cao áp lực học tập + thấp tự trọng + vừa lo âu (theo đuổi thành tích), (3) cao bắt nạt + thấp gắn bó trường + cao SAD (nạn nhân hóa từ bạn bè), (4) cao điện thoại + thấp hỗ trợ cha mẹ + vừa SocAD (cô lập số), và có thể (5) cao tất cả nguy cơ + thấp tất cả bảo vệ + lo âu nặng. Phân bố hồ sơ sẽ được kiểm chứng theo giới, khối lớp, và trường.</w:t>
      </w:r>
    </w:p>
    <w:p>
      <w:pPr>
        <w:spacing w:before="200" w:after="80"/>
      </w:pPr>
      <w:r>
        <w:rPr>
          <w:rFonts w:ascii="Times New Roman" w:hAnsi="Times New Roman"/>
          <w:b/>
          <w:color w:val="2E74B5"/>
          <w:sz w:val="24"/>
        </w:rPr>
        <w:t>Conclusions (planned)</w:t>
      </w:r>
    </w:p>
    <w:p>
      <w:pPr>
        <w:spacing w:after="80"/>
        <w:ind w:firstLine="283"/>
        <w:jc w:val="both"/>
      </w:pPr>
      <w:r>
        <w:rPr>
          <w:rFonts w:ascii="Times New Roman" w:hAnsi="Times New Roman"/>
          <w:sz w:val="22"/>
        </w:rPr>
        <w:t>Phenotype profiles will inform targeted prevention — different profiles likely benefit from different intervention components. Together with Q2 (integrated mechanisms) and Q3 (gender invariance), Q4 completes a "hat-trick" three-paper program characterizing Vietnamese adolescent anxiety from variable-, group-, and person-centered perspectives.</w:t>
      </w:r>
    </w:p>
    <w:p>
      <w:pPr>
        <w:spacing w:after="160"/>
        <w:ind w:firstLine="283" w:left="170"/>
        <w:jc w:val="both"/>
      </w:pPr>
      <w:r>
        <w:rPr>
          <w:rFonts w:ascii="Times New Roman" w:hAnsi="Times New Roman"/>
          <w:i/>
          <w:color w:val="333333"/>
          <w:sz w:val="22"/>
        </w:rPr>
        <w:t>Các hồ sơ phân loại sẽ cung cấp thông tin cho phòng ngừa có mục tiêu — các hồ sơ khác nhau có thể hưởng lợi từ các thành phần can thiệp khác nhau. Cùng với Q2 (cơ chế tích hợp) và Q3 (bất biến giới), Q4 hoàn thành chương trình ba bài "hat-trick" mô tả đặc điểm lo âu vị thành niên Việt Nam từ ba góc nhìn: biến, nhóm, và con người làm trung tâm.</w:t>
      </w:r>
    </w:p>
    <w:p>
      <w:pPr>
        <w:spacing w:before="320" w:after="160"/>
      </w:pPr>
      <w:r>
        <w:rPr>
          <w:rFonts w:ascii="Times New Roman" w:hAnsi="Times New Roman"/>
          <w:b/>
          <w:color w:val="C00000"/>
          <w:sz w:val="28"/>
        </w:rPr>
        <w:t>1. INTRODUCTION (target 1,000-1,200 words full draft)</w:t>
      </w:r>
    </w:p>
    <w:p>
      <w:pPr>
        <w:spacing w:before="200" w:after="80"/>
      </w:pPr>
      <w:r>
        <w:rPr>
          <w:rFonts w:ascii="Times New Roman" w:hAnsi="Times New Roman"/>
          <w:b/>
          <w:color w:val="2E74B5"/>
          <w:sz w:val="24"/>
        </w:rPr>
        <w:t>1.1 — Variable-centered vs person-centered approaches</w:t>
      </w:r>
    </w:p>
    <w:p>
      <w:pPr>
        <w:spacing w:after="80"/>
        <w:ind w:firstLine="283"/>
        <w:jc w:val="both"/>
      </w:pPr>
      <w:r>
        <w:rPr>
          <w:rFonts w:ascii="Times New Roman" w:hAnsi="Times New Roman"/>
          <w:sz w:val="22"/>
        </w:rPr>
        <w:t>Most adolescent anxiety research uses variable-centered methods (correlation, regression, SEM) that estimate average relationships in the population. These methods assume the sample is homogeneous — a single set of pathway coefficients applies to all individuals. Person-centered methods (LPA, LCA, GMM) relax this assumption by allowing the population to contain unobserved subgroups with qualitatively different patterns. Both approaches answer complementary scientific questions (Bauer 2007; Lanza &amp; Cooper 2016).</w:t>
      </w:r>
    </w:p>
    <w:p>
      <w:pPr>
        <w:spacing w:after="160"/>
        <w:ind w:firstLine="283" w:left="170"/>
        <w:jc w:val="both"/>
      </w:pPr>
      <w:r>
        <w:rPr>
          <w:rFonts w:ascii="Times New Roman" w:hAnsi="Times New Roman"/>
          <w:i/>
          <w:color w:val="333333"/>
          <w:sz w:val="22"/>
        </w:rPr>
        <w:t>Hầu hết nghiên cứu lo âu vị thành niên sử dụng các phương pháp lấy biến làm trung tâm (tương quan, hồi quy, SEM) ước lượng các quan hệ trung bình trong dân số. Các phương pháp này giả định mẫu đồng nhất — một tập hợp hệ số đường dẫn áp dụng cho tất cả cá nhân. Các phương pháp lấy con người làm trung tâm (LPA, LCA, GMM) nới lỏng giả định này bằng cách cho phép dân số chứa các nhóm con không quan sát được với các mẫu hình khác nhau về định tính. Cả hai cách tiếp cận trả lời các câu hỏi khoa học bổ sung lẫn nhau (Bauer 2007; Lanza &amp; Cooper 2016).</w:t>
      </w:r>
    </w:p>
    <w:p>
      <w:pPr>
        <w:spacing w:before="200" w:after="80"/>
      </w:pPr>
      <w:r>
        <w:rPr>
          <w:rFonts w:ascii="Times New Roman" w:hAnsi="Times New Roman"/>
          <w:b/>
          <w:color w:val="2E74B5"/>
          <w:sz w:val="24"/>
        </w:rPr>
        <w:t>1.2 — Why person-centered analyses matter for prevention</w:t>
      </w:r>
    </w:p>
    <w:p>
      <w:pPr>
        <w:spacing w:after="80"/>
        <w:ind w:firstLine="283"/>
        <w:jc w:val="both"/>
      </w:pPr>
      <w:r>
        <w:rPr>
          <w:rFonts w:ascii="Times New Roman" w:hAnsi="Times New Roman"/>
          <w:sz w:val="22"/>
        </w:rPr>
        <w:t>Public health practice often allocates intervention resources by risk profile — high-risk youth receive intensive programs, low-risk youth receive universal prevention. Identifying meaningful phenotype profiles helps match the intensity and content of intervention to student needs, avoiding both under-treatment of high-need students and over-treatment of low-need students.</w:t>
      </w:r>
    </w:p>
    <w:p>
      <w:pPr>
        <w:spacing w:after="160"/>
        <w:ind w:firstLine="283" w:left="170"/>
        <w:jc w:val="both"/>
      </w:pPr>
      <w:r>
        <w:rPr>
          <w:rFonts w:ascii="Times New Roman" w:hAnsi="Times New Roman"/>
          <w:i/>
          <w:color w:val="333333"/>
          <w:sz w:val="22"/>
        </w:rPr>
        <w:t>Thực hành y tế công cộng thường phân bổ nguồn lực can thiệp theo hồ sơ nguy cơ — thanh thiếu niên nguy cơ cao nhận chương trình chuyên sâu, thanh thiếu niên nguy cơ thấp nhận phòng ngừa phổ quát. Nhận diện các hồ sơ phân loại có ý nghĩa giúp khớp cường độ và nội dung can thiệp với nhu cầu học sinh, tránh đồng thời việc thiếu can thiệp cho học sinh nhu cầu cao và can thiệp thừa cho học sinh nhu cầu thấp.</w:t>
      </w:r>
    </w:p>
    <w:p>
      <w:pPr>
        <w:spacing w:before="200" w:after="80"/>
      </w:pPr>
      <w:r>
        <w:rPr>
          <w:rFonts w:ascii="Times New Roman" w:hAnsi="Times New Roman"/>
          <w:b/>
          <w:color w:val="2E74B5"/>
          <w:sz w:val="24"/>
        </w:rPr>
        <w:t>1.3 — Gap: no Vietnamese phenotype profiling</w:t>
      </w:r>
    </w:p>
    <w:p>
      <w:pPr>
        <w:spacing w:after="80"/>
        <w:ind w:firstLine="283"/>
        <w:jc w:val="both"/>
      </w:pPr>
      <w:r>
        <w:rPr>
          <w:rFonts w:ascii="Times New Roman" w:hAnsi="Times New Roman"/>
          <w:sz w:val="22"/>
        </w:rPr>
        <w:t>LPA-based phenotyping of adolescent anxiety has been conducted in samples from China, US, Australia, and several European countries — but not Vietnam. Given the distinctive risk-protective configuration of Vietnamese lower secondary students (Confucian academic culture + tam giao + rapid digital transformation), it is plausible that Vietnamese phenotype profiles differ from Western or other Asian profiles. This study fills that gap.</w:t>
      </w:r>
    </w:p>
    <w:p>
      <w:pPr>
        <w:spacing w:after="160"/>
        <w:ind w:firstLine="283" w:left="170"/>
        <w:jc w:val="both"/>
      </w:pPr>
      <w:r>
        <w:rPr>
          <w:rFonts w:ascii="Times New Roman" w:hAnsi="Times New Roman"/>
          <w:i/>
          <w:color w:val="333333"/>
          <w:sz w:val="22"/>
        </w:rPr>
        <w:t>Phân loại hồ sơ lo âu vị thành niên dựa trên LPA đã được thực hiện trên các mẫu từ Trung Quốc, Mỹ, Úc, và một số quốc gia châu Âu — nhưng chưa có Việt Nam. Với cấu hình nguy cơ-bảo vệ đặc trưng của học sinh THCS Việt Nam (văn hóa học thuật Nho giáo + tam giáo + chuyển đổi số nhanh), có thể các hồ sơ phân loại của Việt Nam khác biệt so với hồ sơ phương Tây hoặc châu Á khác. Nghiên cứu này lấp đầy khoảng trống đó.</w:t>
      </w:r>
    </w:p>
    <w:p>
      <w:pPr>
        <w:spacing w:before="200" w:after="80"/>
      </w:pPr>
      <w:r>
        <w:rPr>
          <w:rFonts w:ascii="Times New Roman" w:hAnsi="Times New Roman"/>
          <w:b/>
          <w:color w:val="2E74B5"/>
          <w:sz w:val="24"/>
        </w:rPr>
        <w:t>1.4 — Research questions (exploratory)</w:t>
      </w:r>
    </w:p>
    <w:p>
      <w:pPr>
        <w:spacing w:after="80"/>
        <w:ind w:firstLine="283"/>
        <w:jc w:val="both"/>
      </w:pPr>
      <w:r>
        <w:rPr>
          <w:rFonts w:ascii="Times New Roman" w:hAnsi="Times New Roman"/>
          <w:sz w:val="22"/>
        </w:rPr>
        <w:t>Unlike Q2 and Q3 which test pre-registered hypotheses, Q4 asks three exploratory research questions. RQ1: How many distinct anxiety phenotype profiles are present in the sample? RQ2: How are profiles characterized in terms of risk and protective factor levels? RQ3: How do profile membership distributions vary by gender, grade, and school?</w:t>
      </w:r>
    </w:p>
    <w:p>
      <w:pPr>
        <w:spacing w:after="160"/>
        <w:ind w:firstLine="283" w:left="170"/>
        <w:jc w:val="both"/>
      </w:pPr>
      <w:r>
        <w:rPr>
          <w:rFonts w:ascii="Times New Roman" w:hAnsi="Times New Roman"/>
          <w:i/>
          <w:color w:val="333333"/>
          <w:sz w:val="22"/>
        </w:rPr>
        <w:t>Khác với Q2 và Q3 kiểm chứng các giả thuyết đăng ký trước, Q4 đặt ba câu hỏi nghiên cứu thám sát. RQ1: Có bao nhiêu hồ sơ phân loại lo âu khác biệt trong mẫu? RQ2: Các hồ sơ được đặc trưng như thế nào về mức độ các yếu tố nguy cơ và bảo vệ? RQ3: Phân bố thành viên hồ sơ thay đổi theo giới, khối lớp, và trường như thế nào?</w:t>
      </w:r>
    </w:p>
    <w:p>
      <w:pPr>
        <w:spacing w:before="120" w:after="120"/>
        <w:ind w:left="283" w:right="283"/>
      </w:pPr>
      <w:r>
        <w:rPr>
          <w:rFonts w:ascii="Times New Roman" w:hAnsi="Times New Roman"/>
          <w:b/>
          <w:color w:val="006E2E"/>
          <w:sz w:val="20"/>
        </w:rPr>
        <w:t>[NOTE TO NCS + co-authors] LPA is exploratory by design — pre-registration is recommended but the focus is on confirming the EXPLORATORY procedure (LMR-LRT criteria) rather than specific profile predictions.</w:t>
      </w:r>
    </w:p>
    <w:p>
      <w:pPr>
        <w:spacing w:after="200"/>
        <w:ind w:left="283" w:right="283"/>
      </w:pPr>
      <w:r>
        <w:rPr>
          <w:rFonts w:ascii="Times New Roman" w:hAnsi="Times New Roman"/>
          <w:b/>
          <w:i/>
          <w:color w:val="006E2E"/>
          <w:sz w:val="20"/>
        </w:rPr>
        <w:t>[GHI CHÚ cho NCS + đồng tác giả] LPA là thám sát theo thiết kế — đăng ký trước được khuyến nghị nhưng trọng tâm là xác nhận QUY TRÌNH thám sát (tiêu chí LMR-LRT) thay vì các dự đoán hồ sơ cụ thể.</w:t>
      </w:r>
    </w:p>
    <w:p>
      <w:pPr>
        <w:spacing w:before="320" w:after="160"/>
      </w:pPr>
      <w:r>
        <w:rPr>
          <w:rFonts w:ascii="Times New Roman" w:hAnsi="Times New Roman"/>
          <w:b/>
          <w:color w:val="C00000"/>
          <w:sz w:val="28"/>
        </w:rPr>
        <w:t>2. METHODS (target 1,000-1,200 words full draft)</w:t>
      </w:r>
    </w:p>
    <w:p>
      <w:pPr>
        <w:spacing w:before="200" w:after="80"/>
      </w:pPr>
      <w:r>
        <w:rPr>
          <w:rFonts w:ascii="Times New Roman" w:hAnsi="Times New Roman"/>
          <w:b/>
          <w:color w:val="2E74B5"/>
          <w:sz w:val="24"/>
        </w:rPr>
        <w:t>2.1 — Participants</w:t>
      </w:r>
    </w:p>
    <w:p>
      <w:pPr>
        <w:spacing w:after="80"/>
        <w:ind w:firstLine="283"/>
        <w:jc w:val="both"/>
      </w:pPr>
      <w:r>
        <w:rPr>
          <w:rFonts w:ascii="Times New Roman" w:hAnsi="Times New Roman"/>
          <w:sz w:val="22"/>
        </w:rPr>
        <w:t>Reuse Q2 v1 participant description verbatim (1,352 students, Nhat Tan + Tay Mo, ages 11-14).</w:t>
      </w:r>
    </w:p>
    <w:p>
      <w:pPr>
        <w:spacing w:after="160"/>
        <w:ind w:firstLine="283" w:left="170"/>
        <w:jc w:val="both"/>
      </w:pPr>
      <w:r>
        <w:rPr>
          <w:rFonts w:ascii="Times New Roman" w:hAnsi="Times New Roman"/>
          <w:i/>
          <w:color w:val="333333"/>
          <w:sz w:val="22"/>
        </w:rPr>
        <w:t>Sử dụng lại phần Participants của Q2 v1 nguyên văn (1.352 học sinh, Nhật Tân + Tây Mỗ, 11-14 tuổi).</w:t>
      </w:r>
    </w:p>
    <w:p>
      <w:pPr>
        <w:spacing w:before="200" w:after="80"/>
      </w:pPr>
      <w:r>
        <w:rPr>
          <w:rFonts w:ascii="Times New Roman" w:hAnsi="Times New Roman"/>
          <w:b/>
          <w:color w:val="2E74B5"/>
          <w:sz w:val="24"/>
        </w:rPr>
        <w:t>2.2 — Measures and indicator selection</w:t>
      </w:r>
    </w:p>
    <w:p>
      <w:pPr>
        <w:spacing w:after="80"/>
        <w:ind w:firstLine="283"/>
        <w:jc w:val="both"/>
      </w:pPr>
      <w:r>
        <w:rPr>
          <w:rFonts w:ascii="Times New Roman" w:hAnsi="Times New Roman"/>
          <w:sz w:val="22"/>
        </w:rPr>
        <w:t>Reuse Q2 v1 measures section. For LPA, select 10 indicators: 3 risk (bullying OBVQ, academic stress ESSA, smartphone SAS-SV), 4 protective (school membership PSSM, parental support MSPSS, peer support MSPSS, self-esteem RSES), 3 anxiety subtype scores (GAD, SAD, SocAD from RCADS). All standardized to mean = 50, SD = 10 for LPA estimation comparability.</w:t>
      </w:r>
    </w:p>
    <w:p>
      <w:pPr>
        <w:spacing w:after="160"/>
        <w:ind w:firstLine="283" w:left="170"/>
        <w:jc w:val="both"/>
      </w:pPr>
      <w:r>
        <w:rPr>
          <w:rFonts w:ascii="Times New Roman" w:hAnsi="Times New Roman"/>
          <w:i/>
          <w:color w:val="333333"/>
          <w:sz w:val="22"/>
        </w:rPr>
        <w:t>Sử dụng lại phần Measures của Q2 v1. Cho LPA, chọn 10 chỉ báo: 3 nguy cơ (bắt nạt OBVQ, áp lực học tập ESSA, điện thoại SAS-SV), 4 bảo vệ (gắn bó trường PSSM, hỗ trợ cha mẹ MSPSS, hỗ trợ bạn bè MSPSS, tự trọng RSES), 3 điểm phân loại lo âu (GAD, SAD, SocAD từ RCADS). Tất cả chuẩn hóa thành trung bình = 50, SD = 10 để so sánh ước lượng LPA.</w:t>
      </w:r>
    </w:p>
    <w:p>
      <w:pPr>
        <w:spacing w:before="200" w:after="80"/>
      </w:pPr>
      <w:r>
        <w:rPr>
          <w:rFonts w:ascii="Times New Roman" w:hAnsi="Times New Roman"/>
          <w:b/>
          <w:color w:val="2E74B5"/>
          <w:sz w:val="24"/>
        </w:rPr>
        <w:t>2.3 — LPA analytic strategy</w:t>
      </w:r>
    </w:p>
    <w:p>
      <w:pPr>
        <w:spacing w:after="40"/>
        <w:ind w:left="283"/>
      </w:pPr>
      <w:r>
        <w:rPr>
          <w:rFonts w:ascii="Times New Roman" w:hAnsi="Times New Roman"/>
          <w:sz w:val="22"/>
        </w:rPr>
        <w:t>• Step 1: Indicator preparation. Confirm indicator normality (skewness/kurtosis within ±1), missing data check, and standardization to T-score scale.</w:t>
      </w:r>
    </w:p>
    <w:p>
      <w:pPr>
        <w:spacing w:after="120"/>
        <w:ind w:left="454"/>
      </w:pPr>
      <w:r>
        <w:rPr>
          <w:rFonts w:ascii="Times New Roman" w:hAnsi="Times New Roman"/>
          <w:i/>
          <w:color w:val="333333"/>
          <w:sz w:val="22"/>
        </w:rPr>
        <w:t>▸ Bước 1: Chuẩn bị chỉ báo. Xác nhận tính chuẩn của chỉ báo (độ lệch/độ nhọn trong khoảng ±1), kiểm tra dữ liệu khuyết, và chuẩn hóa sang thang T-score.</w:t>
      </w:r>
    </w:p>
    <w:p>
      <w:pPr>
        <w:spacing w:after="40"/>
        <w:ind w:left="283"/>
      </w:pPr>
      <w:r>
        <w:rPr>
          <w:rFonts w:ascii="Times New Roman" w:hAnsi="Times New Roman"/>
          <w:sz w:val="22"/>
        </w:rPr>
        <w:t>• Step 2: Compare K-profile solutions. Estimate LPA with K = 2, 3, 4, 5, 6 profiles. Use maximum likelihood with 500 random starts to avoid local maxima.</w:t>
      </w:r>
    </w:p>
    <w:p>
      <w:pPr>
        <w:spacing w:after="120"/>
        <w:ind w:left="454"/>
      </w:pPr>
      <w:r>
        <w:rPr>
          <w:rFonts w:ascii="Times New Roman" w:hAnsi="Times New Roman"/>
          <w:i/>
          <w:color w:val="333333"/>
          <w:sz w:val="22"/>
        </w:rPr>
        <w:t>▸ Bước 2: So sánh các giải pháp K hồ sơ. Ước lượng LPA với K = 2, 3, 4, 5, 6 hồ sơ. Dùng maximum likelihood với 500 điểm khởi đầu ngẫu nhiên để tránh cực đại địa phương.</w:t>
      </w:r>
    </w:p>
    <w:p>
      <w:pPr>
        <w:spacing w:after="40"/>
        <w:ind w:left="283"/>
      </w:pPr>
      <w:r>
        <w:rPr>
          <w:rFonts w:ascii="Times New Roman" w:hAnsi="Times New Roman"/>
          <w:sz w:val="22"/>
        </w:rPr>
        <w:t>• Step 3: Model selection criteria. Compare BIC (lower = better), AIC (lower = better), entropy (higher = better; aim ≥ 0.80), LMR-LRT (significant = larger model preferred), and parsimony. No single criterion dictates — consider convergence across criteria + substantive interpretability.</w:t>
      </w:r>
    </w:p>
    <w:p>
      <w:pPr>
        <w:spacing w:after="120"/>
        <w:ind w:left="454"/>
      </w:pPr>
      <w:r>
        <w:rPr>
          <w:rFonts w:ascii="Times New Roman" w:hAnsi="Times New Roman"/>
          <w:i/>
          <w:color w:val="333333"/>
          <w:sz w:val="22"/>
        </w:rPr>
        <w:t>▸ Bước 3: Tiêu chí chọn mô hình. So sánh BIC (thấp hơn = tốt hơn), AIC (thấp hơn = tốt hơn), entropy (cao hơn = tốt hơn; mục tiêu ≥ 0,80), LMR-LRT (có ý nghĩa = mô hình lớn hơn được ưu tiên), và sự tiết kiệm. Không tiêu chí nào quyết định một mình — cân nhắc sự hội tụ qua các tiêu chí + tính diễn giải thực chất.</w:t>
      </w:r>
    </w:p>
    <w:p>
      <w:pPr>
        <w:spacing w:after="40"/>
        <w:ind w:left="283"/>
      </w:pPr>
      <w:r>
        <w:rPr>
          <w:rFonts w:ascii="Times New Roman" w:hAnsi="Times New Roman"/>
          <w:sz w:val="22"/>
        </w:rPr>
        <w:t>• Step 4: Profile interpretation. For optimal K, examine standardized mean profile across indicators. Name each profile descriptively (e.g., "high-stress + low-support + moderate-anxiety"). Estimate profile prevalence (%) in sample.</w:t>
      </w:r>
    </w:p>
    <w:p>
      <w:pPr>
        <w:spacing w:after="120"/>
        <w:ind w:left="454"/>
      </w:pPr>
      <w:r>
        <w:rPr>
          <w:rFonts w:ascii="Times New Roman" w:hAnsi="Times New Roman"/>
          <w:i/>
          <w:color w:val="333333"/>
          <w:sz w:val="22"/>
        </w:rPr>
        <w:t>▸ Bước 4: Diễn giải hồ sơ. Với K tối ưu, kiểm tra trung bình chuẩn hóa của hồ sơ qua các chỉ báo. Đặt tên mỗi hồ sơ theo mô tả (vd "cao áp lực + thấp hỗ trợ + vừa lo âu"). Ước lượng tỷ lệ hồ sơ (%) trong mẫu.</w:t>
      </w:r>
    </w:p>
    <w:p>
      <w:pPr>
        <w:spacing w:after="40"/>
        <w:ind w:left="283"/>
      </w:pPr>
      <w:r>
        <w:rPr>
          <w:rFonts w:ascii="Times New Roman" w:hAnsi="Times New Roman"/>
          <w:sz w:val="22"/>
        </w:rPr>
        <w:t>• Step 5: External validation. Test profile membership differences by gender (chi-square), grade (chi-square), and school (chi-square). Cohen's w effect sizes for each comparison.</w:t>
      </w:r>
    </w:p>
    <w:p>
      <w:pPr>
        <w:spacing w:after="120"/>
        <w:ind w:left="454"/>
      </w:pPr>
      <w:r>
        <w:rPr>
          <w:rFonts w:ascii="Times New Roman" w:hAnsi="Times New Roman"/>
          <w:i/>
          <w:color w:val="333333"/>
          <w:sz w:val="22"/>
        </w:rPr>
        <w:t>▸ Bước 5: Validation bên ngoài. Kiểm chứng khác biệt thành viên hồ sơ theo giới (chi-square), khối lớp (chi-square), và trường (chi-square). Effect size Cohen's w cho mỗi so sánh.</w:t>
      </w:r>
    </w:p>
    <w:p>
      <w:pPr>
        <w:spacing w:before="200" w:after="80"/>
      </w:pPr>
      <w:r>
        <w:rPr>
          <w:rFonts w:ascii="Times New Roman" w:hAnsi="Times New Roman"/>
          <w:b/>
          <w:color w:val="2E74B5"/>
          <w:sz w:val="24"/>
        </w:rPr>
        <w:t>2.4 — Software / Phần mềm</w:t>
      </w:r>
    </w:p>
    <w:p>
      <w:pPr>
        <w:spacing w:after="80"/>
        <w:ind w:firstLine="283"/>
        <w:jc w:val="both"/>
      </w:pPr>
      <w:r>
        <w:rPr>
          <w:rFonts w:ascii="Times New Roman" w:hAnsi="Times New Roman"/>
          <w:sz w:val="22"/>
        </w:rPr>
        <w:t>Estimation in Mplus 8.10 (or R package "tidyLPA" v1.1+ for reproducibility). Bootstrap LMR-LRT with 500 replications.</w:t>
      </w:r>
    </w:p>
    <w:p>
      <w:pPr>
        <w:spacing w:after="160"/>
        <w:ind w:firstLine="283" w:left="170"/>
        <w:jc w:val="both"/>
      </w:pPr>
      <w:r>
        <w:rPr>
          <w:rFonts w:ascii="Times New Roman" w:hAnsi="Times New Roman"/>
          <w:i/>
          <w:color w:val="333333"/>
          <w:sz w:val="22"/>
        </w:rPr>
        <w:t>Ước lượng bằng Mplus 8.10 (hoặc gói R "tidyLPA" v1.1+ để có thể tái tạo). Bootstrap LMR-LRT với 500 lần lặp.</w:t>
      </w:r>
    </w:p>
    <w:p>
      <w:pPr>
        <w:spacing w:before="200" w:after="80"/>
      </w:pPr>
      <w:r>
        <w:rPr>
          <w:rFonts w:ascii="Times New Roman" w:hAnsi="Times New Roman"/>
          <w:b/>
          <w:color w:val="2E74B5"/>
          <w:sz w:val="24"/>
        </w:rPr>
        <w:t>2.5 — Ethics</w:t>
      </w:r>
    </w:p>
    <w:p>
      <w:pPr>
        <w:spacing w:after="80"/>
        <w:ind w:firstLine="283"/>
        <w:jc w:val="both"/>
      </w:pPr>
      <w:r>
        <w:rPr>
          <w:rFonts w:ascii="Times New Roman" w:hAnsi="Times New Roman"/>
          <w:sz w:val="22"/>
        </w:rPr>
        <w:t>Reuse Q2 v1 ethics section. [TBD — Q3-6 BLOCKING: IRB number and date pending official letter from HNUE Ethics Committee.]</w:t>
      </w:r>
    </w:p>
    <w:p>
      <w:pPr>
        <w:spacing w:after="160"/>
        <w:ind w:firstLine="283" w:left="170"/>
        <w:jc w:val="both"/>
      </w:pPr>
      <w:r>
        <w:rPr>
          <w:rFonts w:ascii="Times New Roman" w:hAnsi="Times New Roman"/>
          <w:i/>
          <w:color w:val="333333"/>
          <w:sz w:val="22"/>
        </w:rPr>
        <w:t>Sử dụng lại phần Ethics của Q2 v1. [CHỜ XÁC NHẬN — Q3-6 BLOCKING: số quyết định và ngày của HĐ đạo đức HNUE chờ thư chính thức.]</w:t>
      </w:r>
    </w:p>
    <w:p>
      <w:pPr>
        <w:spacing w:before="320" w:after="160"/>
      </w:pPr>
      <w:r>
        <w:rPr>
          <w:rFonts w:ascii="Times New Roman" w:hAnsi="Times New Roman"/>
          <w:b/>
          <w:color w:val="C00000"/>
          <w:sz w:val="28"/>
        </w:rPr>
        <w:t>3. RESULTS (target 1,500-1,800 words full draft)</w:t>
      </w:r>
    </w:p>
    <w:p>
      <w:pPr>
        <w:spacing w:before="200" w:after="80"/>
      </w:pPr>
      <w:r>
        <w:rPr>
          <w:rFonts w:ascii="Times New Roman" w:hAnsi="Times New Roman"/>
          <w:b/>
          <w:color w:val="2E74B5"/>
          <w:sz w:val="24"/>
        </w:rPr>
        <w:t>3.1 — Indicator descriptives</w:t>
      </w:r>
    </w:p>
    <w:p>
      <w:pPr>
        <w:spacing w:after="80"/>
        <w:ind w:firstLine="283"/>
        <w:jc w:val="both"/>
      </w:pPr>
      <w:r>
        <w:rPr>
          <w:rFonts w:ascii="Times New Roman" w:hAnsi="Times New Roman"/>
          <w:sz w:val="22"/>
        </w:rPr>
        <w:t>Means, SDs, skewness, kurtosis, and intercorrelations of 10 indicators (Table 1). Check for floor/ceiling effects.</w:t>
      </w:r>
    </w:p>
    <w:p>
      <w:pPr>
        <w:spacing w:after="160"/>
        <w:ind w:firstLine="283" w:left="170"/>
        <w:jc w:val="both"/>
      </w:pPr>
      <w:r>
        <w:rPr>
          <w:rFonts w:ascii="Times New Roman" w:hAnsi="Times New Roman"/>
          <w:i/>
          <w:color w:val="333333"/>
          <w:sz w:val="22"/>
        </w:rPr>
        <w:t>Trung bình, SD, độ lệch, độ nhọn, và liên tương quan của 10 chỉ báo (Bảng 1). Kiểm tra hiệu ứng sàn/trần.</w:t>
      </w:r>
    </w:p>
    <w:p>
      <w:pPr>
        <w:spacing w:before="200" w:after="80"/>
      </w:pPr>
      <w:r>
        <w:rPr>
          <w:rFonts w:ascii="Times New Roman" w:hAnsi="Times New Roman"/>
          <w:b/>
          <w:color w:val="2E74B5"/>
          <w:sz w:val="24"/>
        </w:rPr>
        <w:t>3.2 — LPA model selection</w:t>
      </w:r>
    </w:p>
    <w:p>
      <w:pPr>
        <w:spacing w:after="80"/>
        <w:ind w:firstLine="283"/>
        <w:jc w:val="both"/>
      </w:pPr>
      <w:r>
        <w:rPr>
          <w:rFonts w:ascii="Times New Roman" w:hAnsi="Times New Roman"/>
          <w:sz w:val="22"/>
        </w:rPr>
        <w:t>Table 2 reporting BIC, AIC, entropy, LMR-LRT p-value, and smallest class % for K = 2, 3, 4, 5, 6 solutions. Convergence checks. Final K determined by triangulation of criteria + interpretability — exact K to be determined by analysis.</w:t>
      </w:r>
    </w:p>
    <w:p>
      <w:pPr>
        <w:spacing w:after="160"/>
        <w:ind w:firstLine="283" w:left="170"/>
        <w:jc w:val="both"/>
      </w:pPr>
      <w:r>
        <w:rPr>
          <w:rFonts w:ascii="Times New Roman" w:hAnsi="Times New Roman"/>
          <w:i/>
          <w:color w:val="333333"/>
          <w:sz w:val="22"/>
        </w:rPr>
        <w:t>Bảng 2 báo cáo BIC, AIC, entropy, giá trị p LMR-LRT, và % lớp nhỏ nhất cho các giải pháp K = 2, 3, 4, 5, 6. Kiểm tra hội tụ. K cuối cùng xác định bằng triangulation các tiêu chí + tính diễn giải — K chính xác chờ phân tích xác định.</w:t>
      </w:r>
    </w:p>
    <w:p>
      <w:pPr>
        <w:spacing w:before="200" w:after="80"/>
      </w:pPr>
      <w:r>
        <w:rPr>
          <w:rFonts w:ascii="Times New Roman" w:hAnsi="Times New Roman"/>
          <w:b/>
          <w:color w:val="2E74B5"/>
          <w:sz w:val="24"/>
        </w:rPr>
        <w:t>3.3 — Profile descriptions</w:t>
      </w:r>
    </w:p>
    <w:p>
      <w:pPr>
        <w:spacing w:after="80"/>
        <w:ind w:firstLine="283"/>
        <w:jc w:val="both"/>
      </w:pPr>
      <w:r>
        <w:rPr>
          <w:rFonts w:ascii="Times New Roman" w:hAnsi="Times New Roman"/>
          <w:sz w:val="22"/>
        </w:rPr>
        <w:t>Figure 1 (radar chart or line graph) showing standardized mean profile across 10 indicators for each profile. Table 3 with descriptive label + prevalence + indicator-specific means + SDs.</w:t>
      </w:r>
    </w:p>
    <w:p>
      <w:pPr>
        <w:spacing w:after="160"/>
        <w:ind w:firstLine="283" w:left="170"/>
        <w:jc w:val="both"/>
      </w:pPr>
      <w:r>
        <w:rPr>
          <w:rFonts w:ascii="Times New Roman" w:hAnsi="Times New Roman"/>
          <w:i/>
          <w:color w:val="333333"/>
          <w:sz w:val="22"/>
        </w:rPr>
        <w:t>Hình 1 (biểu đồ radar hoặc đồ thị đường) thể hiện trung bình chuẩn hóa của hồ sơ qua 10 chỉ báo cho mỗi hồ sơ. Bảng 3 với nhãn mô tả + tỷ lệ + trung bình + SD theo chỉ báo.</w:t>
      </w:r>
    </w:p>
    <w:p>
      <w:pPr>
        <w:spacing w:before="200" w:after="80"/>
      </w:pPr>
      <w:r>
        <w:rPr>
          <w:rFonts w:ascii="Times New Roman" w:hAnsi="Times New Roman"/>
          <w:b/>
          <w:color w:val="2E74B5"/>
          <w:sz w:val="24"/>
        </w:rPr>
        <w:t>3.4 — External validation: gender, grade, school</w:t>
      </w:r>
    </w:p>
    <w:p>
      <w:pPr>
        <w:spacing w:after="80"/>
        <w:ind w:firstLine="283"/>
        <w:jc w:val="both"/>
      </w:pPr>
      <w:r>
        <w:rPr>
          <w:rFonts w:ascii="Times New Roman" w:hAnsi="Times New Roman"/>
          <w:sz w:val="22"/>
        </w:rPr>
        <w:t>Chi-square tests of profile membership × gender, × grade, × school. Report cell %, residuals, Cohen's w. Discuss any profile that disproportionately contains one sub-population.</w:t>
      </w:r>
    </w:p>
    <w:p>
      <w:pPr>
        <w:spacing w:after="160"/>
        <w:ind w:firstLine="283" w:left="170"/>
        <w:jc w:val="both"/>
      </w:pPr>
      <w:r>
        <w:rPr>
          <w:rFonts w:ascii="Times New Roman" w:hAnsi="Times New Roman"/>
          <w:i/>
          <w:color w:val="333333"/>
          <w:sz w:val="22"/>
        </w:rPr>
        <w:t>Kiểm định chi-square thành viên hồ sơ × giới, × khối lớp, × trường. Báo cáo % ô, phần dư, Cohen's w. Bàn luận bất kỳ hồ sơ nào chứa lệch một dân số con.</w:t>
      </w:r>
    </w:p>
    <w:p>
      <w:pPr>
        <w:spacing w:before="200" w:after="80"/>
      </w:pPr>
      <w:r>
        <w:rPr>
          <w:rFonts w:ascii="Times New Roman" w:hAnsi="Times New Roman"/>
          <w:b/>
          <w:color w:val="2E74B5"/>
          <w:sz w:val="24"/>
        </w:rPr>
        <w:t>3.5 — Profile-anxiety severity comparison</w:t>
      </w:r>
    </w:p>
    <w:p>
      <w:pPr>
        <w:spacing w:after="80"/>
        <w:ind w:firstLine="283"/>
        <w:jc w:val="both"/>
      </w:pPr>
      <w:r>
        <w:rPr>
          <w:rFonts w:ascii="Times New Roman" w:hAnsi="Times New Roman"/>
          <w:sz w:val="22"/>
        </w:rPr>
        <w:t>ANOVA comparing GAD, SAD, SocAD raw scores across profiles. Post-hoc Tukey comparisons. Eta-squared effect sizes.</w:t>
      </w:r>
    </w:p>
    <w:p>
      <w:pPr>
        <w:spacing w:after="160"/>
        <w:ind w:firstLine="283" w:left="170"/>
        <w:jc w:val="both"/>
      </w:pPr>
      <w:r>
        <w:rPr>
          <w:rFonts w:ascii="Times New Roman" w:hAnsi="Times New Roman"/>
          <w:i/>
          <w:color w:val="333333"/>
          <w:sz w:val="22"/>
        </w:rPr>
        <w:t>ANOVA so sánh điểm thô GAD, SAD, SocAD giữa các hồ sơ. So sánh post-hoc Tukey. Effect size eta-squared.</w:t>
      </w:r>
    </w:p>
    <w:p>
      <w:pPr>
        <w:spacing w:before="320" w:after="160"/>
      </w:pPr>
      <w:r>
        <w:rPr>
          <w:rFonts w:ascii="Times New Roman" w:hAnsi="Times New Roman"/>
          <w:b/>
          <w:color w:val="C00000"/>
          <w:sz w:val="28"/>
        </w:rPr>
        <w:t>4. DISCUSSION (target 1,500-1,800 words full draft)</w:t>
      </w:r>
    </w:p>
    <w:p>
      <w:pPr>
        <w:spacing w:before="200" w:after="80"/>
      </w:pPr>
      <w:r>
        <w:rPr>
          <w:rFonts w:ascii="Times New Roman" w:hAnsi="Times New Roman"/>
          <w:b/>
          <w:color w:val="2E74B5"/>
          <w:sz w:val="24"/>
        </w:rPr>
        <w:t>4.1 — Summary of profiles found</w:t>
      </w:r>
    </w:p>
    <w:p>
      <w:pPr>
        <w:spacing w:after="80"/>
        <w:ind w:firstLine="283"/>
        <w:jc w:val="both"/>
      </w:pPr>
      <w:r>
        <w:rPr>
          <w:rFonts w:ascii="Times New Roman" w:hAnsi="Times New Roman"/>
          <w:sz w:val="22"/>
        </w:rPr>
        <w:t>Brief recap: K profiles identified, named descriptively, with their prevalences and key characteristics.</w:t>
      </w:r>
    </w:p>
    <w:p>
      <w:pPr>
        <w:spacing w:after="160"/>
        <w:ind w:firstLine="283" w:left="170"/>
        <w:jc w:val="both"/>
      </w:pPr>
      <w:r>
        <w:rPr>
          <w:rFonts w:ascii="Times New Roman" w:hAnsi="Times New Roman"/>
          <w:i/>
          <w:color w:val="333333"/>
          <w:sz w:val="22"/>
        </w:rPr>
        <w:t>Tóm tắt ngắn: K hồ sơ được nhận diện, đặt tên mô tả, kèm tỷ lệ và đặc điểm chính.</w:t>
      </w:r>
    </w:p>
    <w:p>
      <w:pPr>
        <w:spacing w:before="200" w:after="80"/>
      </w:pPr>
      <w:r>
        <w:rPr>
          <w:rFonts w:ascii="Times New Roman" w:hAnsi="Times New Roman"/>
          <w:b/>
          <w:color w:val="2E74B5"/>
          <w:sz w:val="24"/>
        </w:rPr>
        <w:t>4.2 — Theoretical contribution: complement to SEM (Q2/Q3)</w:t>
      </w:r>
    </w:p>
    <w:p>
      <w:pPr>
        <w:spacing w:after="80"/>
        <w:ind w:firstLine="283"/>
        <w:jc w:val="both"/>
      </w:pPr>
      <w:r>
        <w:rPr>
          <w:rFonts w:ascii="Times New Roman" w:hAnsi="Times New Roman"/>
          <w:sz w:val="22"/>
        </w:rPr>
        <w:t>SEM tells us WHAT pathways matter (Q2) and FOR WHOM differently (Q3). LPA tells us HOW students are clustered into typologies. The three perspectives together provide a comprehensive picture of Vietnamese adolescent anxiety that no single method achieves. Discuss how variable-centered + person-centered findings can converge or diverge (Marsh et al. 2009).</w:t>
      </w:r>
    </w:p>
    <w:p>
      <w:pPr>
        <w:spacing w:after="160"/>
        <w:ind w:firstLine="283" w:left="170"/>
        <w:jc w:val="both"/>
      </w:pPr>
      <w:r>
        <w:rPr>
          <w:rFonts w:ascii="Times New Roman" w:hAnsi="Times New Roman"/>
          <w:i/>
          <w:color w:val="333333"/>
          <w:sz w:val="22"/>
        </w:rPr>
        <w:t>SEM cho biết các đường dẫn nào quan trọng (Q2) và CHO AI khác nhau (Q3). LPA cho biết học sinh được gộp thành các phân loại như thế nào. Ba góc nhìn cùng nhau cung cấp bức tranh toàn diện về lo âu vị thành niên Việt Nam mà không phương pháp đơn lẻ nào đạt được. Bàn luận cách các phát hiện lấy biến + lấy con người làm trung tâm có thể hội tụ hoặc phân kỳ (Marsh và cs. 2009).</w:t>
      </w:r>
    </w:p>
    <w:p>
      <w:pPr>
        <w:spacing w:before="200" w:after="80"/>
      </w:pPr>
      <w:r>
        <w:rPr>
          <w:rFonts w:ascii="Times New Roman" w:hAnsi="Times New Roman"/>
          <w:b/>
          <w:color w:val="2E74B5"/>
          <w:sz w:val="24"/>
        </w:rPr>
        <w:t>4.3 — Cultural-developmental interpretation</w:t>
      </w:r>
    </w:p>
    <w:p>
      <w:pPr>
        <w:spacing w:after="80"/>
        <w:ind w:firstLine="283"/>
        <w:jc w:val="both"/>
      </w:pPr>
      <w:r>
        <w:rPr>
          <w:rFonts w:ascii="Times New Roman" w:hAnsi="Times New Roman"/>
          <w:sz w:val="22"/>
        </w:rPr>
        <w:t>Reuse cultural framing from Q2 v1 Section 4.4 (tam giao + Confucian + co-rumination) — interpret which profiles reflect typical Vietnamese socio-cultural niches. For example, "high-academic-stress" profile likely reflects the Confucian achievement script (Stankov 2010); "high-peer-victimization + low-school-membership" reflects breakdown of the Confucian harmonious school ideal.</w:t>
      </w:r>
    </w:p>
    <w:p>
      <w:pPr>
        <w:spacing w:after="160"/>
        <w:ind w:firstLine="283" w:left="170"/>
        <w:jc w:val="both"/>
      </w:pPr>
      <w:r>
        <w:rPr>
          <w:rFonts w:ascii="Times New Roman" w:hAnsi="Times New Roman"/>
          <w:i/>
          <w:color w:val="333333"/>
          <w:sz w:val="22"/>
        </w:rPr>
        <w:t>Sử dụng lại khung văn hóa từ Q2 v1 Section 4.4 (tam giáo + Nho giáo + co-rumination) — diễn giải hồ sơ nào phản ánh các vị thế xã hội-văn hóa Việt Nam điển hình. Ví dụ, hồ sơ "cao áp lực học tập" có thể phản ánh kịch bản thành tích Nho giáo (Stankov 2010); "cao nạn nhân hóa từ bạn bè + thấp gắn bó trường" phản ánh sự đổ vỡ của lý tưởng trường học hài hòa Nho giáo.</w:t>
      </w:r>
    </w:p>
    <w:p>
      <w:pPr>
        <w:spacing w:before="200" w:after="80"/>
      </w:pPr>
      <w:r>
        <w:rPr>
          <w:rFonts w:ascii="Times New Roman" w:hAnsi="Times New Roman"/>
          <w:b/>
          <w:color w:val="2E74B5"/>
          <w:sz w:val="24"/>
        </w:rPr>
        <w:t>4.4 — Practical implications: profile-tailored intervention</w:t>
      </w:r>
    </w:p>
    <w:p>
      <w:pPr>
        <w:spacing w:after="80"/>
        <w:ind w:firstLine="283"/>
        <w:jc w:val="both"/>
      </w:pPr>
      <w:r>
        <w:rPr>
          <w:rFonts w:ascii="Times New Roman" w:hAnsi="Times New Roman"/>
          <w:sz w:val="22"/>
        </w:rPr>
        <w:t>Each profile suggests a different intervention package. Resilient majority: universal psycho-education on stress management. Achievement-driven: cognitive-behavioral reframing of academic pressure + self-compassion. Peer-victimization: anti-bullying program + assertiveness training. Digital-isolation: parental engagement program + screen-time management. Severe-anxiety: clinical referral.</w:t>
      </w:r>
    </w:p>
    <w:p>
      <w:pPr>
        <w:spacing w:after="160"/>
        <w:ind w:firstLine="283" w:left="170"/>
        <w:jc w:val="both"/>
      </w:pPr>
      <w:r>
        <w:rPr>
          <w:rFonts w:ascii="Times New Roman" w:hAnsi="Times New Roman"/>
          <w:i/>
          <w:color w:val="333333"/>
          <w:sz w:val="22"/>
        </w:rPr>
        <w:t>Mỗi hồ sơ gợi ý một gói can thiệp khác nhau. Đa số kiên cường: giáo dục tâm lý phổ quát về quản lý stress. Theo đuổi thành tích: tái cấu trúc nhận thức-hành vi về áp lực học tập + tự thương xót. Nạn nhân hóa từ bạn bè: chương trình chống bắt nạt + huấn luyện quyết đoán. Cô lập số: chương trình kết nối cha mẹ + quản lý thời gian màn hình. Lo âu nặng: chuyển tuyến lâm sàng.</w:t>
      </w:r>
    </w:p>
    <w:p>
      <w:pPr>
        <w:spacing w:before="200" w:after="80"/>
      </w:pPr>
      <w:r>
        <w:rPr>
          <w:rFonts w:ascii="Times New Roman" w:hAnsi="Times New Roman"/>
          <w:b/>
          <w:color w:val="2E74B5"/>
          <w:sz w:val="24"/>
        </w:rPr>
        <w:t>4.5 — Limitations</w:t>
      </w:r>
    </w:p>
    <w:p>
      <w:pPr>
        <w:spacing w:after="80"/>
        <w:ind w:firstLine="283"/>
        <w:jc w:val="both"/>
      </w:pPr>
      <w:r>
        <w:rPr>
          <w:rFonts w:ascii="Times New Roman" w:hAnsi="Times New Roman"/>
          <w:sz w:val="22"/>
        </w:rPr>
        <w:t>(a) Cross-sectional design: profiles are snapshots, transitions between profiles over time cannot be tested; (b) LPA assumes profile homogeneity — within-profile variability may still be substantial; (c) profile replicability requires external samples; (d) LMR-LRT and BIC may disagree — model selection has irreducible subjectivity.</w:t>
      </w:r>
    </w:p>
    <w:p>
      <w:pPr>
        <w:spacing w:after="160"/>
        <w:ind w:firstLine="283" w:left="170"/>
        <w:jc w:val="both"/>
      </w:pPr>
      <w:r>
        <w:rPr>
          <w:rFonts w:ascii="Times New Roman" w:hAnsi="Times New Roman"/>
          <w:i/>
          <w:color w:val="333333"/>
          <w:sz w:val="22"/>
        </w:rPr>
        <w:t>(a) Thiết kế cắt ngang: hồ sơ là ảnh chụp nhanh, chuyển tiếp giữa các hồ sơ theo thời gian không thể kiểm chứng; (b) LPA giả định tính đồng nhất trong hồ sơ — biến thiên trong-hồ-sơ có thể vẫn đáng kể; (c) khả năng tái tạo hồ sơ yêu cầu các mẫu bên ngoài; (d) LMR-LRT và BIC có thể không đồng ý — chọn mô hình có tính chủ quan không thể loại bỏ.</w:t>
      </w:r>
    </w:p>
    <w:p>
      <w:pPr>
        <w:spacing w:before="200" w:after="80"/>
      </w:pPr>
      <w:r>
        <w:rPr>
          <w:rFonts w:ascii="Times New Roman" w:hAnsi="Times New Roman"/>
          <w:b/>
          <w:color w:val="2E74B5"/>
          <w:sz w:val="24"/>
        </w:rPr>
        <w:t>4.6 — Future directions</w:t>
      </w:r>
    </w:p>
    <w:p>
      <w:pPr>
        <w:spacing w:after="80"/>
        <w:ind w:firstLine="283"/>
        <w:jc w:val="both"/>
      </w:pPr>
      <w:r>
        <w:rPr>
          <w:rFonts w:ascii="Times New Roman" w:hAnsi="Times New Roman"/>
          <w:sz w:val="22"/>
        </w:rPr>
        <w:t>(1) Latent transition analysis (LTA) on a longitudinal extension to test profile stability over time; (2) replicate in rural + minority-ethnic cohorts; (3) link profiles to objective outcomes (school attendance, grades, healthcare utilization).</w:t>
      </w:r>
    </w:p>
    <w:p>
      <w:pPr>
        <w:spacing w:after="160"/>
        <w:ind w:firstLine="283" w:left="170"/>
        <w:jc w:val="both"/>
      </w:pPr>
      <w:r>
        <w:rPr>
          <w:rFonts w:ascii="Times New Roman" w:hAnsi="Times New Roman"/>
          <w:i/>
          <w:color w:val="333333"/>
          <w:sz w:val="22"/>
        </w:rPr>
        <w:t>(1) Phân tích chuyển tiếp tiềm ẩn (LTA) trên phần mở rộng dọc để kiểm chứng độ ổn định hồ sơ theo thời gian; (2) lặp lại ở cohort nông thôn + dân tộc thiểu số; (3) liên kết hồ sơ với các kết quả khách quan (chuyên cần, học lực, sử dụng dịch vụ y tế).</w:t>
      </w:r>
    </w:p>
    <w:p>
      <w:pPr>
        <w:spacing w:before="320" w:after="160"/>
      </w:pPr>
      <w:r>
        <w:rPr>
          <w:rFonts w:ascii="Times New Roman" w:hAnsi="Times New Roman"/>
          <w:b/>
          <w:color w:val="C00000"/>
          <w:sz w:val="28"/>
        </w:rPr>
        <w:t>5. REFERENCES (target 30-40 entries full draft)</w:t>
      </w:r>
    </w:p>
    <w:p>
      <w:pPr>
        <w:spacing w:before="120" w:after="120"/>
        <w:ind w:left="283" w:right="283"/>
      </w:pPr>
      <w:r>
        <w:rPr>
          <w:rFonts w:ascii="Times New Roman" w:hAnsi="Times New Roman"/>
          <w:b/>
          <w:color w:val="006E2E"/>
          <w:sz w:val="20"/>
        </w:rPr>
        <w:t>[NOTE TO NCS + co-authors] 12 KEY references shared with Q2/Q3 already verified via PubMed. Q4-specific methodology refs (Bauer 2007 LCA; Lanza &amp; Cooper 2016 LPA; Marsh et al. 2009 person- vs variable-centered; Nylund et al. 2007 LMR-LRT) to be added in full draft.</w:t>
      </w:r>
    </w:p>
    <w:p>
      <w:pPr>
        <w:spacing w:after="200"/>
        <w:ind w:left="283" w:right="283"/>
      </w:pPr>
      <w:r>
        <w:rPr>
          <w:rFonts w:ascii="Times New Roman" w:hAnsi="Times New Roman"/>
          <w:b/>
          <w:i/>
          <w:color w:val="006E2E"/>
          <w:sz w:val="20"/>
        </w:rPr>
        <w:t>[GHI CHÚ cho NCS + đồng tác giả] 12 tham khảo CHỦ CHỐT chia sẻ với Q2/Q3 đã verify qua PubMed. Các tham khảo phương pháp luận đặc thù Q4 (Bauer 2007 LCA; Lanza &amp; Cooper 2016 LPA; Marsh và cs. 2009 lấy con người vs lấy biến; Nylund và cs. 2007 LMR-LRT) sẽ thêm vào draft đầy đủ.</w:t>
      </w:r>
    </w:p>
    <w:p>
      <w:pPr>
        <w:spacing w:after="80"/>
        <w:ind w:left="425" w:hanging="425"/>
      </w:pPr>
      <w:r>
        <w:rPr>
          <w:rFonts w:ascii="Times New Roman" w:hAnsi="Times New Roman"/>
          <w:sz w:val="20"/>
        </w:rPr>
        <w:t>[1] Hankin BL, Mermelstein R, Roesch L. (2007). Sex differences in adolescent depression. Child Development 78(1):279-295. PMID: 17328705.</w:t>
      </w:r>
    </w:p>
    <w:p>
      <w:pPr>
        <w:spacing w:after="80"/>
        <w:ind w:left="425" w:hanging="425"/>
      </w:pPr>
      <w:r>
        <w:rPr>
          <w:rFonts w:ascii="Times New Roman" w:hAnsi="Times New Roman"/>
          <w:sz w:val="20"/>
        </w:rPr>
        <w:t>[2] McLean CP, Anderson ER. (2009). Brave men and timid women? Clinical Psychology Review 29(6):496-505. PMID: 19541399.</w:t>
      </w:r>
    </w:p>
    <w:p>
      <w:pPr>
        <w:spacing w:after="80"/>
        <w:ind w:left="425" w:hanging="425"/>
      </w:pPr>
      <w:r>
        <w:rPr>
          <w:rFonts w:ascii="Times New Roman" w:hAnsi="Times New Roman"/>
          <w:sz w:val="20"/>
        </w:rPr>
        <w:t>[3] Kessler RC, Berglund P, Demler O, et al. (2005). Lifetime prevalence and age-of-onset distributions of DSM-IV disorders in the NCS-R. Archives of General Psychiatry 62(6):593-602. PMID: 15939837.</w:t>
      </w:r>
    </w:p>
    <w:p>
      <w:pPr>
        <w:spacing w:after="80"/>
        <w:ind w:left="425" w:hanging="425"/>
      </w:pPr>
      <w:r>
        <w:rPr>
          <w:rFonts w:ascii="Times New Roman" w:hAnsi="Times New Roman"/>
          <w:sz w:val="20"/>
        </w:rPr>
        <w:t>[4] Rose AJ. (2002). Co-rumination in the friendships of girls and boys. Child Development 73(6):1830-1843. PMID: 12487497.</w:t>
      </w:r>
    </w:p>
    <w:p>
      <w:pPr>
        <w:spacing w:after="80"/>
        <w:ind w:left="425" w:hanging="425"/>
      </w:pPr>
      <w:r>
        <w:rPr>
          <w:rFonts w:ascii="Times New Roman" w:hAnsi="Times New Roman"/>
          <w:sz w:val="20"/>
        </w:rPr>
        <w:t>[5] Stankov L. (2010). Unforgiving Confucian culture. Learning and Individual Differences 20(6):555-563.</w:t>
      </w:r>
    </w:p>
    <w:p>
      <w:pPr>
        <w:spacing w:after="80"/>
        <w:ind w:left="425" w:hanging="425"/>
      </w:pPr>
      <w:r>
        <w:rPr>
          <w:rFonts w:ascii="Times New Roman" w:hAnsi="Times New Roman"/>
          <w:sz w:val="20"/>
        </w:rPr>
        <w:t>[6] Small S, Blanc J. (2021). Mental Health During COVID-19: Tam Giao and Vietnam's Response. Frontiers in Psychiatry 11:589618. PMID: 33536961.</w:t>
      </w:r>
    </w:p>
    <w:p>
      <w:pPr>
        <w:spacing w:after="80"/>
        <w:ind w:left="425" w:hanging="425"/>
      </w:pPr>
      <w:r>
        <w:rPr>
          <w:rFonts w:ascii="Times New Roman" w:hAnsi="Times New Roman"/>
          <w:sz w:val="20"/>
        </w:rPr>
        <w:t>[7] Bauer DJ. (2007). Observations on the use of growth mixture models in psychological research. Multivariate Behavioral Research 42(4):757-786. [TO VERIFY PMID in full draft.]</w:t>
      </w:r>
    </w:p>
    <w:p>
      <w:pPr>
        <w:spacing w:after="80"/>
        <w:ind w:left="425" w:hanging="425"/>
      </w:pPr>
      <w:r>
        <w:rPr>
          <w:rFonts w:ascii="Times New Roman" w:hAnsi="Times New Roman"/>
          <w:sz w:val="20"/>
        </w:rPr>
        <w:t>[8] Lanza ST, Cooper BR. (2016). Latent class analysis for developmental research. Child Development Perspectives 10(1):59-64.</w:t>
      </w:r>
    </w:p>
    <w:p>
      <w:pPr>
        <w:spacing w:after="80"/>
        <w:ind w:left="425" w:hanging="425"/>
      </w:pPr>
      <w:r>
        <w:rPr>
          <w:rFonts w:ascii="Times New Roman" w:hAnsi="Times New Roman"/>
          <w:sz w:val="20"/>
        </w:rPr>
        <w:t>[9] Marsh HW, Lüdtke O, Trautwein U, Morin AJS. (2009). Classical latent profile analysis of academic self-concept dimensions. Structural Equation Modeling 16(2):191-225.</w:t>
      </w:r>
    </w:p>
    <w:p>
      <w:pPr>
        <w:spacing w:after="80"/>
        <w:ind w:left="425" w:hanging="425"/>
      </w:pPr>
      <w:r>
        <w:rPr>
          <w:rFonts w:ascii="Times New Roman" w:hAnsi="Times New Roman"/>
          <w:sz w:val="20"/>
        </w:rPr>
        <w:t>[10] Nylund KL, Asparouhov T, Muthén BO. (2007). Deciding on the number of classes in latent class analysis and growth mixture modeling. Structural Equation Modeling 14(4):535-569.</w:t>
      </w:r>
    </w:p>
    <w:p>
      <w:pPr>
        <w:spacing w:after="80"/>
        <w:ind w:left="425" w:hanging="425"/>
      </w:pPr>
      <w:r>
        <w:rPr>
          <w:rFonts w:ascii="Times New Roman" w:hAnsi="Times New Roman"/>
          <w:sz w:val="20"/>
        </w:rPr>
        <w:t>[11] Compas BE, Jaser SS, Bettis AH, et al. (2017). Coping, emotion regulation, and psychopathology in childhood and adolescence. Psychological Bulletin 143(9):939-991. PMID: 28616996.</w:t>
      </w:r>
    </w:p>
    <w:p>
      <w:pPr>
        <w:spacing w:after="80"/>
        <w:ind w:left="425" w:hanging="425"/>
      </w:pPr>
      <w:r>
        <w:rPr>
          <w:rFonts w:ascii="Times New Roman" w:hAnsi="Times New Roman"/>
          <w:sz w:val="20"/>
        </w:rPr>
        <w:t>[12] Jefferies P, Ungar M. (2020). Social anxiety in young people. PLOS ONE 15(9):e0239133. DOI: 10.1371/journal.pone.0239133.</w:t>
      </w:r>
    </w:p>
    <w:p>
      <w:pPr>
        <w:spacing w:before="400"/>
        <w:jc w:val="center"/>
      </w:pPr>
      <w:r>
        <w:rPr>
          <w:rFonts w:ascii="Times New Roman" w:hAnsi="Times New Roman"/>
          <w:i/>
          <w:color w:val="808080"/>
          <w:sz w:val="20"/>
        </w:rPr>
        <w:t>Soạn 08/06/2026 — Outline Q4 v1, kế hoạch năm 2027, chờ cả nhóm cùng quyết định</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