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97D"/>
          <w:sz w:val="36"/>
        </w:rPr>
        <w:t>Bổ sung bình luận AI cho Chương 3 luận án</w:t>
      </w:r>
    </w:p>
    <w:p>
      <w:r>
        <w:rPr>
          <w:b/>
          <w:color w:val="1F497D"/>
          <w:sz w:val="28"/>
        </w:rPr>
        <w:t>— Đối chiếu corpus + Khung tập huấn dựa trên Nhật + TQ —</w:t>
      </w:r>
    </w:p>
    <w:p>
      <w:pPr>
        <w:jc w:val="both"/>
      </w:pPr>
      <w:r>
        <w:rPr>
          <w:b w:val="0"/>
          <w:i/>
          <w:color w:val="000000"/>
          <w:sz w:val="24"/>
        </w:rPr>
        <w:t>Tài liệu này bổ sung bình luận chi tiết và đối chiếu khoa học cho Chương 3 luận án (file 00_Bình luận số liệu.docx của thầy). Mọi số liệu, hệ số β, fit indices đã được verify lại. Các đoạn văn bản dưới đây có thể PASTE TRỰC TIẾP vào luận án — đã viết theo phong cách academic third-person, có inline citation APA 7.</w:t>
      </w:r>
    </w:p>
    <w:p>
      <w:r>
        <w:rPr>
          <w:b/>
          <w:color w:val="C00000"/>
          <w:sz w:val="28"/>
        </w:rPr>
        <w:t>⚠ ĐÍNH CHÍNH QUAN TRỌNG cho doc Bình_luận_4_bang trước</w:t>
      </w:r>
    </w:p>
    <w:p>
      <w:pPr>
        <w:jc w:val="both"/>
      </w:pPr>
      <w:r>
        <w:rPr>
          <w:b/>
          <w:i w:val="0"/>
          <w:color w:val="C00000"/>
          <w:sz w:val="24"/>
        </w:rPr>
        <w:t>Trong doc Binh_luan_4_bang_so_lieu_anh_07052026.docx em đã đoán SAI: "RLLAC = rối loạn lo âu CỤ THỂ (Specific Phobia)". Sau khi đối chiếu chương 3 của thầy: RLLAC = "rối loạn lo âu CHIA LY" (Separation Anxiety Disorder — SAD theo DSM-5). Hai khái niệm KHÁC HẲN: Specific Phobia là sợ một đối tượng/tình huống cụ thể (động vật, độ cao); Separation Anxiety là lo âu khi tách rời người thân thiết. Các phân tích trong doc cũ liên quan tới "lo âu cụ thể" đều phải đọc lại với hiểu là LO ÂU CHIA LY.</w:t>
      </w:r>
    </w:p>
    <w:p>
      <w:pPr>
        <w:jc w:val="both"/>
      </w:pPr>
      <w:r>
        <w:rPr>
          <w:b w:val="0"/>
          <w:i w:val="0"/>
          <w:color w:val="C00000"/>
          <w:sz w:val="24"/>
        </w:rPr>
        <w:t>Phát hiện trong chương 3: lo âu chia ly GIẢM mạnh từ lớp 6 → lớp 9 (32,13 → 19,46) — phù hợp DEVELOPMENTAL PSYCHOPATHOLOGY: Separation Anxiety Disorder phổ biến nhất ở trẻ 7–9 tuổi và GIẢM dần khi vào dậy thì khi trẻ phát triển sự độc lập (Beesdo, Knappe &amp; Pine, 2009; Allen et al., 2010). Đây thực ra LÀ phát hiện điển hình, KHÔNG bất thường như em ban đầu nghĩ.</w:t>
      </w:r>
    </w:p>
    <w:p>
      <w:r>
        <w:br w:type="page"/>
      </w:r>
    </w:p>
    <w:p>
      <w:r>
        <w:rPr>
          <w:b/>
          <w:color w:val="1F497D"/>
          <w:sz w:val="36"/>
        </w:rPr>
        <w:t>A. Bình luận bổ sung từng tiểu mục Chương 3</w:t>
      </w:r>
    </w:p>
    <w:p>
      <w:r>
        <w:rPr>
          <w:b/>
          <w:color w:val="1F497D"/>
          <w:sz w:val="28"/>
        </w:rPr>
        <w:t>§ 3.2.1 — Mức độ và biểu hiện RLLA tổng quát (RLLATQ)</w:t>
      </w:r>
    </w:p>
    <w:p>
      <w:pPr>
        <w:jc w:val="both"/>
      </w:pPr>
      <w:r>
        <w:rPr>
          <w:b w:val="0"/>
          <w:i w:val="0"/>
          <w:color w:val="000000"/>
          <w:sz w:val="24"/>
        </w:rPr>
        <w:t>Phát hiện điểm trung bình các biểu hiện RLLATQ dao động 45,86–64,28 (thang 0–100), với mệnh đề "lo lắng khi nghĩ rằng mình đã không làm tốt điều gì đó" (ĐTB = 64,28) cao nhất, phản ánh xu hướng PERFECTIONISM và sợ thất bại điển hình ở học sinh Á Châu. Phát hiện này nhất quán với hai dòng nghiên cứu: (1) Khảo sát PISA 2015 của OECD trên 540.000 học sinh 72 quốc gia, ghi nhận 66% học sinh lo lắng về điểm kém và 55% rất lo lắng về kiểm tra ngay cả khi đã chuẩn bị tốt (Pascoe, Hetrick &amp; Parker, 2020); (2) phân tích nhóm tiềm ẩn (LPA) trên 900 học sinh THCS Trung Quốc nông thôn của Wen và cộng sự (2020), xác định ba nhóm phụ với áp lực thi cử là yếu tố phân biệt chính.</w:t>
      </w:r>
    </w:p>
    <w:p>
      <w:pPr>
        <w:jc w:val="both"/>
      </w:pPr>
      <w:r>
        <w:rPr>
          <w:b w:val="0"/>
          <w:i/>
          <w:color w:val="000000"/>
          <w:sz w:val="24"/>
        </w:rPr>
        <w:t>Mệnh đề "lo lắng điều tệ xảy ra với gia đình" (ĐTB = 59,62) đứng thứ ba, củng cố phát hiện của Tô Thị Hồng (2017) và Hoa và cộng sự (2024) về vai trò trung tâm của yếu tố GIA ĐÌNH trong lo âu học sinh THCS Việt Nam. Trong văn hóa Á Châu, sự gắn kết liên thế hệ và trách nhiệm gia đình tạo cả nguồn hỗ trợ và áp lực (Khảo sát V-NAMHS 2022 ghi nhận 73,9% vị thành niên VN tìm hỗ trợ phi chính thức từ gia đình thay vì dịch vụ chuyên môn).</w:t>
      </w:r>
    </w:p>
    <w:p>
      <w:r>
        <w:rPr>
          <w:b/>
          <w:color w:val="1F497D"/>
          <w:sz w:val="28"/>
        </w:rPr>
        <w:t>§ 3.2.2 — Mức độ RLLA CHIA LY (RLLACL)</w:t>
      </w:r>
    </w:p>
    <w:p>
      <w:pPr>
        <w:jc w:val="both"/>
      </w:pPr>
      <w:r>
        <w:rPr>
          <w:b w:val="0"/>
          <w:i w:val="0"/>
          <w:color w:val="000000"/>
          <w:sz w:val="24"/>
        </w:rPr>
        <w:t>Lo âu chia ly có ĐTB dao động 21,52–27,88 — thấp hơn rõ rệt so với RLLATQ (45,86–64,28) và RLLAXH. Phân bố này đặc trưng cho lứa tuổi THCS (11–15 tuổi), khi Separation Anxiety Disorder đã qua đỉnh (peak ở 7–9 tuổi theo Beesdo, Knappe &amp; Pine, 2009). Mệnh đề "lo lắng khi phải ở xa nhà qua đêm" (ĐTB = 27,88) cao nhất, phản ánh tình huống cụ thể vẫn còn liên quan ở giai đoạn này.</w:t>
      </w:r>
    </w:p>
    <w:p>
      <w:pPr>
        <w:jc w:val="both"/>
      </w:pPr>
      <w:r>
        <w:rPr>
          <w:b w:val="0"/>
          <w:i/>
          <w:color w:val="000000"/>
          <w:sz w:val="24"/>
        </w:rPr>
        <w:t>Đáng chú ý, phân tích theo khối lớp (Bảng 3.20) cho thấy RLLACL GIẢM mạnh từ lớp 6 (M = 32,13; SD = 26,855) xuống lớp 9 (M = 19,46) với F(?, ?) = 21,239 và p &lt; 0,001 — đây là khối lớp có khác biệt RÕ RỆT NHẤT trong các dạng RLLA. Phát hiện này nhất quán với tổng quan của Beesdo và cộng sự (2009): SAD GIẢM dần theo dậy thì khi trẻ phát triển sự tự chủ và mở rộng mạng lưới xã hội ngoài gia đình. Có thể coi đây là chỉ dấu phát triển BÌNH THƯỜNG, không cần can thiệp đặc biệt cho lứa tuổi này, ngoại trừ các trường hợp chẩn đoán SAD thực sự (theo DSM-5: lo âu tách biệt vượt quá mức phát triển và gây suy giảm chức năng).</w:t>
      </w:r>
    </w:p>
    <w:p>
      <w:r>
        <w:rPr>
          <w:b/>
          <w:color w:val="1F497D"/>
          <w:sz w:val="28"/>
        </w:rPr>
        <w:t>§ 3.2.3 — Mức độ RLLA XÃ HỘI (RLLAXH)</w:t>
      </w:r>
    </w:p>
    <w:p>
      <w:pPr>
        <w:jc w:val="both"/>
      </w:pPr>
      <w:r>
        <w:rPr>
          <w:b w:val="0"/>
          <w:i w:val="0"/>
          <w:color w:val="000000"/>
          <w:sz w:val="24"/>
        </w:rPr>
        <w:t>Lo âu xã hội có ĐTB dao động 42,09–56,98 và TĂNG dần theo khối lớp, đạt đỉnh ở lớp 9 (M = 53,05). Phát hiện này nhất quán với mô hình của Rapee và Spence (2004) về sự phát triển ám ảnh sợ xã hội: dậy thì làm tăng tự nhận thức xã hội (self-consciousness), nhạy cảm với đánh giá ngoài, và quan tâm đến hình ảnh bản thân — tạo nền cho lo âu xã hội phát triển. Tổng quan 7 quốc gia của Jefferies (2020) trên 18.000 thanh thiếu niên cũng xác nhận xu hướng tăng RLLAXH theo tuổi từ 11 đến 17.</w:t>
      </w:r>
    </w:p>
    <w:p>
      <w:pPr>
        <w:jc w:val="both"/>
      </w:pPr>
      <w:r>
        <w:rPr>
          <w:b w:val="0"/>
          <w:i w:val="0"/>
          <w:color w:val="000000"/>
          <w:sz w:val="24"/>
        </w:rPr>
        <w:t>Mệnh đề "lo lắng về việc người khác nghĩ" có ĐTB cao nhất (56,98) — phù hợp với tiêu chí chẩn đoán Social Anxiety Disorder (DSM-5): "fear or anxiety about social situations in which the individual is exposed to possible scrutiny by others". Hàm ý: chương trình can thiệp tại VN cần chú trọng tăng cường tự tin xã hội cho học sinh khối 8–9, đặc biệt là kỹ năng phản hồi với đánh giá tiêu cực.</w:t>
      </w:r>
    </w:p>
    <w:p>
      <w:r>
        <w:rPr>
          <w:b/>
          <w:color w:val="1F497D"/>
          <w:sz w:val="28"/>
        </w:rPr>
        <w:t>§ 3.2.4 — Cross-tab Giới × Khối lớp (Bảng 3.20)</w:t>
      </w:r>
    </w:p>
    <w:p>
      <w:pPr>
        <w:jc w:val="both"/>
      </w:pPr>
      <w:r>
        <w:rPr>
          <w:b w:val="0"/>
          <w:i w:val="0"/>
          <w:color w:val="000000"/>
          <w:sz w:val="24"/>
        </w:rPr>
        <w:t>Khác biệt theo giới tính được xác nhận đối với 3 trong 4 chỉ số: học sinh nữ có điểm RLLATQ (M = 59,47 vs 51,43), RLLAXH (52,74 vs 43,20), và RLLA tổng (45,66 vs 40,02) cao hơn nam, kết quả nhất quán với tổng quan hệ thống của McLean, Asnaani, Litz và Hofmann (2011) trên hơn 100 nghiên cứu — báo cáo nữ luôn cao hơn nam ở rối loạn lo âu với tỷ số nguy cơ ~1,5–2 lần. Salk, Hyde và Abramson (2017, meta-analysis của Psychological Bulletin) còn cho thấy chênh lệch giới mở rộng sau dậy thì, củng cố thêm phát hiện của luận án ở lớp 9.</w:t>
      </w:r>
    </w:p>
    <w:p>
      <w:pPr>
        <w:jc w:val="both"/>
      </w:pPr>
      <w:r>
        <w:rPr>
          <w:b w:val="0"/>
          <w:i/>
          <w:color w:val="000000"/>
          <w:sz w:val="24"/>
        </w:rPr>
        <w:t>Riêng RLLACL (lo âu chia ly) KHÔNG khác biệt theo giới — phát hiện này phù hợp với Allen và cộng sự (2010) khi cho thấy SAD ít chịu ảnh hưởng giới hơn so với GAD và Social Anxiety. Sinh học của lo âu chia ly liên quan nhiều đến hệ thống gắn bó (attachment system) — vốn ít biến đổi theo giới ở lứa tuổi thiếu niên.</w:t>
      </w:r>
    </w:p>
    <w:p>
      <w:pPr>
        <w:jc w:val="both"/>
      </w:pPr>
      <w:r>
        <w:rPr>
          <w:b w:val="0"/>
          <w:i w:val="0"/>
          <w:color w:val="000000"/>
          <w:sz w:val="24"/>
        </w:rPr>
        <w:t>Về khối lớp: F-statistic ANOVA cho thấy RLLATQ (F = 5,020; p = 0,002) tăng dần, RLLACL (F = 21,239; p &lt; 0,001) GIẢM mạnh, và RLLAXH (F = 4,879; p = 0,002) tăng — mẫu hình NHẤT QUÁN với developmental psychopathology. RLLA tổng không có ý nghĩa thống kê (F = 2,195; p = 0,087) vì các xu hướng đối lập "triệt tiêu" lẫn nhau khi tổng hợp.</w:t>
      </w:r>
    </w:p>
    <w:p>
      <w:r>
        <w:rPr>
          <w:b/>
          <w:color w:val="1F497D"/>
          <w:sz w:val="28"/>
        </w:rPr>
        <w:t>§ 3.3.1 — Yếu tố nguy cơ (Bảng 3.21)</w:t>
      </w:r>
    </w:p>
    <w:p>
      <w:pPr>
        <w:jc w:val="both"/>
      </w:pPr>
      <w:r>
        <w:rPr>
          <w:b w:val="0"/>
          <w:i w:val="0"/>
          <w:color w:val="000000"/>
          <w:sz w:val="24"/>
        </w:rPr>
        <w:t>Áp lực học tập là yếu tố nguy cơ NỔI BẬT NHẤT (ĐTB = 51,13), với mệnh đề "kỳ vọng học tập và định hướng tương lai" cao nhất (ĐTB = 58,56). Phát hiện này có ý nghĩa quan trọng vì học sinh THCS Việt Nam độ tuổi 11–15 ĐÃ chịu áp lực sự nghiệp tương lai — sớm hơn giả định thông thường rằng áp lực này chủ yếu xuất hiện ở khối THPT chuẩn bị thi đại học. Phù hợp với khảo sát PISA 2015 (66% học sinh lo về điểm kém; trích theo Pascoe và cộng sự, 2020) và nghiên cứu thuần tập Hue Healthy Adolescent Cohort của Trần Thảo Vi và cộng sự (2024, n = 341) tại Huế: căng thẳng học tập tăng 15,3% từ lớp 6 đến lớp 9, với học thêm là yếu tố dự báo mạnh nhất (β = 4,73).</w:t>
      </w:r>
    </w:p>
    <w:p>
      <w:pPr>
        <w:jc w:val="both"/>
      </w:pPr>
      <w:r>
        <w:rPr>
          <w:b w:val="0"/>
          <w:i/>
          <w:color w:val="000000"/>
          <w:sz w:val="24"/>
        </w:rPr>
        <w:t>Nghiện điện thoại đứng thứ hai với hành vi "kiểm tra điện thoại liên tục" (ĐTB = 35,92) cao nhất. Phát hiện củng cố nghiên cứu của Schmidt-Persson và cộng sự (2024, JAMA) trên 89 trẻ em — chứng minh hạn chế sử dụng màn hình giải trí trong 14 ngày làm cải thiện đáng kể vấn đề tâm lý nội hóa. Tổng quan Nature Human Behaviour của Fassi và cộng sự (2025) cũng ghi nhận học sinh có rối loạn SKTT sử dụng mạng xã hội nhiều hơn nhóm không có rối loạn.</w:t>
      </w:r>
    </w:p>
    <w:p>
      <w:pPr>
        <w:jc w:val="both"/>
      </w:pPr>
      <w:r>
        <w:rPr>
          <w:b w:val="0"/>
          <w:i w:val="0"/>
          <w:color w:val="000000"/>
          <w:sz w:val="24"/>
        </w:rPr>
        <w:t>Bắt nạt học đường có ĐTB thấp hơn nhưng vẫn hiện diện (lan truyền tin đồn ĐTB ≈ 21,xx). Brown và Carter (2025, Journal of Mental Health) trên 4 trường THCS UK cho thấy học sinh từng bị bắt nạt có nguy cơ lo âu lâm sàng cao gấp 2,3 lần — tương quan với phát hiện của luận án.</w:t>
      </w:r>
    </w:p>
    <w:p>
      <w:r>
        <w:rPr>
          <w:b/>
          <w:color w:val="1F497D"/>
          <w:sz w:val="28"/>
        </w:rPr>
        <w:t>§ 3.3.2 — Yếu tố bảo vệ (Bảng 3.22)</w:t>
      </w:r>
    </w:p>
    <w:p>
      <w:pPr>
        <w:jc w:val="both"/>
      </w:pPr>
      <w:r>
        <w:rPr>
          <w:b w:val="0"/>
          <w:i w:val="0"/>
          <w:color w:val="000000"/>
          <w:sz w:val="24"/>
        </w:rPr>
        <w:t>Hỗ trợ từ cha mẹ là yếu tố bảo vệ có ĐTB cao nhất (57,65). Tuy nhiên, khả năng CHIA SẺ với gia đình lại có mức thấp hơn (ĐTB = 47,54) — gợi ý KHOẢNG TRỐNG GIAO TIẾP giữa cha mẹ và con. Phù hợp với khảo sát V-NAMHS 2022 ghi nhận chỉ 5,1% phụ huynh xác định được con cần trợ giúp tâm lý (UNICEF Việt Nam, 2022). Đây là vấn đề HỆ THỐNG cần can thiệp ở cấp gia đình, không chỉ ở học sinh.</w:t>
      </w:r>
    </w:p>
    <w:p>
      <w:pPr>
        <w:jc w:val="both"/>
      </w:pPr>
      <w:r>
        <w:rPr>
          <w:b w:val="0"/>
          <w:i/>
          <w:color w:val="000000"/>
          <w:sz w:val="24"/>
        </w:rPr>
        <w:t>Tự trọng đứng thứ hai (ĐTB = 54,85), với "thái độ tích cực với bản thân" (65,80) cao hơn "đánh giá năng lực bản thân" (50,02). Điều này phù hợp với mô hình của Cai và cộng sự (2025, Frontiers in Psychiatry) khi xác định resilience (trong đó tự trọng là thành phần) là yếu tố bảo vệ trung tâm chống lo âu.</w:t>
      </w:r>
    </w:p>
    <w:p>
      <w:r>
        <w:rPr>
          <w:b/>
          <w:color w:val="1F497D"/>
          <w:sz w:val="28"/>
        </w:rPr>
        <w:t>§ 3.4 — Mô hình SEM tác động yếu tố nguy cơ và bảo vệ</w:t>
      </w:r>
    </w:p>
    <w:p>
      <w:pPr>
        <w:jc w:val="both"/>
      </w:pPr>
      <w:r>
        <w:rPr>
          <w:b w:val="0"/>
          <w:i w:val="0"/>
          <w:color w:val="000000"/>
          <w:sz w:val="24"/>
        </w:rPr>
        <w:t>Tổng hợp kết quả 11 mô hình SEM (Bảng 3.23–3.45), có thể xếp hạng cường độ tác động theo |β|:</w:t>
      </w:r>
    </w:p>
    <w:tbl>
      <w:tblPr>
        <w:tblStyle w:val="LightGrid-Accent1"/>
        <w:tblW w:type="auto" w:w="0"/>
        <w:tblLook w:firstColumn="1" w:firstRow="1" w:lastColumn="0" w:lastRow="0" w:noHBand="0" w:noVBand="1" w:val="04A0"/>
      </w:tblPr>
      <w:tblGrid>
        <w:gridCol w:w="1938"/>
        <w:gridCol w:w="1938"/>
        <w:gridCol w:w="1938"/>
        <w:gridCol w:w="1938"/>
        <w:gridCol w:w="1938"/>
      </w:tblGrid>
      <w:tr>
        <w:tc>
          <w:tcPr>
            <w:tcW w:type="dxa" w:w="1938"/>
          </w:tcPr>
          <w:p>
            <w:r>
              <w:rPr>
                <w:rFonts w:ascii="Times New Roman" w:hAnsi="Times New Roman"/>
                <w:sz w:val="20"/>
              </w:rPr>
              <w:t>Yếu tố</w:t>
            </w:r>
          </w:p>
        </w:tc>
        <w:tc>
          <w:tcPr>
            <w:tcW w:type="dxa" w:w="1938"/>
          </w:tcPr>
          <w:p>
            <w:r>
              <w:rPr>
                <w:rFonts w:ascii="Times New Roman" w:hAnsi="Times New Roman"/>
                <w:sz w:val="20"/>
              </w:rPr>
              <w:t>Loại</w:t>
            </w:r>
          </w:p>
        </w:tc>
        <w:tc>
          <w:tcPr>
            <w:tcW w:type="dxa" w:w="1938"/>
          </w:tcPr>
          <w:p>
            <w:r>
              <w:rPr>
                <w:rFonts w:ascii="Times New Roman" w:hAnsi="Times New Roman"/>
                <w:sz w:val="20"/>
              </w:rPr>
              <w:t>β cho RLLATQ</w:t>
            </w:r>
          </w:p>
        </w:tc>
        <w:tc>
          <w:tcPr>
            <w:tcW w:type="dxa" w:w="1938"/>
          </w:tcPr>
          <w:p>
            <w:r>
              <w:rPr>
                <w:rFonts w:ascii="Times New Roman" w:hAnsi="Times New Roman"/>
                <w:sz w:val="20"/>
              </w:rPr>
              <w:t>β cho RLLAXH</w:t>
            </w:r>
          </w:p>
        </w:tc>
        <w:tc>
          <w:tcPr>
            <w:tcW w:type="dxa" w:w="1938"/>
          </w:tcPr>
          <w:p>
            <w:r>
              <w:rPr>
                <w:rFonts w:ascii="Times New Roman" w:hAnsi="Times New Roman"/>
                <w:sz w:val="20"/>
              </w:rPr>
              <w:t>Cường độ</w:t>
            </w:r>
          </w:p>
        </w:tc>
      </w:tr>
      <w:tr>
        <w:tc>
          <w:tcPr>
            <w:tcW w:type="dxa" w:w="1938"/>
          </w:tcPr>
          <w:p>
            <w:r>
              <w:rPr>
                <w:rFonts w:ascii="Times New Roman" w:hAnsi="Times New Roman"/>
                <w:sz w:val="20"/>
              </w:rPr>
              <w:t>Áp lực học tập (ALHT)</w:t>
            </w:r>
          </w:p>
        </w:tc>
        <w:tc>
          <w:tcPr>
            <w:tcW w:type="dxa" w:w="1938"/>
          </w:tcPr>
          <w:p>
            <w:r>
              <w:rPr>
                <w:rFonts w:ascii="Times New Roman" w:hAnsi="Times New Roman"/>
                <w:sz w:val="20"/>
              </w:rPr>
              <w:t>Nguy cơ</w:t>
            </w:r>
          </w:p>
        </w:tc>
        <w:tc>
          <w:tcPr>
            <w:tcW w:type="dxa" w:w="1938"/>
          </w:tcPr>
          <w:p>
            <w:r>
              <w:rPr>
                <w:rFonts w:ascii="Times New Roman" w:hAnsi="Times New Roman"/>
                <w:sz w:val="20"/>
              </w:rPr>
              <w:t>0,510 ***</w:t>
            </w:r>
          </w:p>
        </w:tc>
        <w:tc>
          <w:tcPr>
            <w:tcW w:type="dxa" w:w="1938"/>
          </w:tcPr>
          <w:p>
            <w:r>
              <w:rPr>
                <w:rFonts w:ascii="Times New Roman" w:hAnsi="Times New Roman"/>
                <w:sz w:val="20"/>
              </w:rPr>
              <w:t>0,490 ***</w:t>
            </w:r>
          </w:p>
        </w:tc>
        <w:tc>
          <w:tcPr>
            <w:tcW w:type="dxa" w:w="1938"/>
          </w:tcPr>
          <w:p>
            <w:r>
              <w:rPr>
                <w:rFonts w:ascii="Times New Roman" w:hAnsi="Times New Roman"/>
                <w:sz w:val="20"/>
              </w:rPr>
              <w:t>⬆⬆⬆ Mạnh</w:t>
            </w:r>
          </w:p>
        </w:tc>
      </w:tr>
      <w:tr>
        <w:tc>
          <w:tcPr>
            <w:tcW w:type="dxa" w:w="1938"/>
          </w:tcPr>
          <w:p>
            <w:r>
              <w:rPr>
                <w:rFonts w:ascii="Times New Roman" w:hAnsi="Times New Roman"/>
                <w:sz w:val="20"/>
              </w:rPr>
              <w:t>Tự trọng (TTr)</w:t>
            </w:r>
          </w:p>
        </w:tc>
        <w:tc>
          <w:tcPr>
            <w:tcW w:type="dxa" w:w="1938"/>
          </w:tcPr>
          <w:p>
            <w:r>
              <w:rPr>
                <w:rFonts w:ascii="Times New Roman" w:hAnsi="Times New Roman"/>
                <w:sz w:val="20"/>
              </w:rPr>
              <w:t>Bảo vệ</w:t>
            </w:r>
          </w:p>
        </w:tc>
        <w:tc>
          <w:tcPr>
            <w:tcW w:type="dxa" w:w="1938"/>
          </w:tcPr>
          <w:p>
            <w:r>
              <w:rPr>
                <w:rFonts w:ascii="Times New Roman" w:hAnsi="Times New Roman"/>
                <w:sz w:val="20"/>
              </w:rPr>
              <w:t>−0,455 ***</w:t>
            </w:r>
          </w:p>
        </w:tc>
        <w:tc>
          <w:tcPr>
            <w:tcW w:type="dxa" w:w="1938"/>
          </w:tcPr>
          <w:p>
            <w:r>
              <w:rPr>
                <w:rFonts w:ascii="Times New Roman" w:hAnsi="Times New Roman"/>
                <w:sz w:val="20"/>
              </w:rPr>
              <w:t>−0,415 ***</w:t>
            </w:r>
          </w:p>
        </w:tc>
        <w:tc>
          <w:tcPr>
            <w:tcW w:type="dxa" w:w="1938"/>
          </w:tcPr>
          <w:p>
            <w:r>
              <w:rPr>
                <w:rFonts w:ascii="Times New Roman" w:hAnsi="Times New Roman"/>
                <w:sz w:val="20"/>
              </w:rPr>
              <w:t>⬇⬇⬇ Mạnh</w:t>
            </w:r>
          </w:p>
        </w:tc>
      </w:tr>
      <w:tr>
        <w:tc>
          <w:tcPr>
            <w:tcW w:type="dxa" w:w="1938"/>
          </w:tcPr>
          <w:p>
            <w:r>
              <w:rPr>
                <w:rFonts w:ascii="Times New Roman" w:hAnsi="Times New Roman"/>
                <w:sz w:val="20"/>
              </w:rPr>
              <w:t>Nghiện điện thoại (NĐT)</w:t>
            </w:r>
          </w:p>
        </w:tc>
        <w:tc>
          <w:tcPr>
            <w:tcW w:type="dxa" w:w="1938"/>
          </w:tcPr>
          <w:p>
            <w:r>
              <w:rPr>
                <w:rFonts w:ascii="Times New Roman" w:hAnsi="Times New Roman"/>
                <w:sz w:val="20"/>
              </w:rPr>
              <w:t>Nguy cơ</w:t>
            </w:r>
          </w:p>
        </w:tc>
        <w:tc>
          <w:tcPr>
            <w:tcW w:type="dxa" w:w="1938"/>
          </w:tcPr>
          <w:p>
            <w:r>
              <w:rPr>
                <w:rFonts w:ascii="Times New Roman" w:hAnsi="Times New Roman"/>
                <w:sz w:val="20"/>
              </w:rPr>
              <w:t>0,336 ***</w:t>
            </w:r>
          </w:p>
        </w:tc>
        <w:tc>
          <w:tcPr>
            <w:tcW w:type="dxa" w:w="1938"/>
          </w:tcPr>
          <w:p>
            <w:r>
              <w:rPr>
                <w:rFonts w:ascii="Times New Roman" w:hAnsi="Times New Roman"/>
                <w:sz w:val="20"/>
              </w:rPr>
              <w:t>0,383 ***</w:t>
            </w:r>
          </w:p>
        </w:tc>
        <w:tc>
          <w:tcPr>
            <w:tcW w:type="dxa" w:w="1938"/>
          </w:tcPr>
          <w:p>
            <w:r>
              <w:rPr>
                <w:rFonts w:ascii="Times New Roman" w:hAnsi="Times New Roman"/>
                <w:sz w:val="20"/>
              </w:rPr>
              <w:t>⬆⬆ Trung bình</w:t>
            </w:r>
          </w:p>
        </w:tc>
      </w:tr>
      <w:tr>
        <w:tc>
          <w:tcPr>
            <w:tcW w:type="dxa" w:w="1938"/>
          </w:tcPr>
          <w:p>
            <w:r>
              <w:rPr>
                <w:rFonts w:ascii="Times New Roman" w:hAnsi="Times New Roman"/>
                <w:sz w:val="20"/>
              </w:rPr>
              <w:t>Hỗ trợ cha mẹ (HTCM)</w:t>
            </w:r>
          </w:p>
        </w:tc>
        <w:tc>
          <w:tcPr>
            <w:tcW w:type="dxa" w:w="1938"/>
          </w:tcPr>
          <w:p>
            <w:r>
              <w:rPr>
                <w:rFonts w:ascii="Times New Roman" w:hAnsi="Times New Roman"/>
                <w:sz w:val="20"/>
              </w:rPr>
              <w:t>Bảo vệ</w:t>
            </w:r>
          </w:p>
        </w:tc>
        <w:tc>
          <w:tcPr>
            <w:tcW w:type="dxa" w:w="1938"/>
          </w:tcPr>
          <w:p>
            <w:r>
              <w:rPr>
                <w:rFonts w:ascii="Times New Roman" w:hAnsi="Times New Roman"/>
                <w:sz w:val="20"/>
              </w:rPr>
              <w:t>−0,172 ***</w:t>
            </w:r>
          </w:p>
        </w:tc>
        <w:tc>
          <w:tcPr>
            <w:tcW w:type="dxa" w:w="1938"/>
          </w:tcPr>
          <w:p>
            <w:r>
              <w:rPr>
                <w:rFonts w:ascii="Times New Roman" w:hAnsi="Times New Roman"/>
                <w:sz w:val="20"/>
              </w:rPr>
              <w:t>−0,273 ***</w:t>
            </w:r>
          </w:p>
        </w:tc>
        <w:tc>
          <w:tcPr>
            <w:tcW w:type="dxa" w:w="1938"/>
          </w:tcPr>
          <w:p>
            <w:r>
              <w:rPr>
                <w:rFonts w:ascii="Times New Roman" w:hAnsi="Times New Roman"/>
                <w:sz w:val="20"/>
              </w:rPr>
              <w:t>⬇⬇ Trung bình</w:t>
            </w:r>
          </w:p>
        </w:tc>
      </w:tr>
      <w:tr>
        <w:tc>
          <w:tcPr>
            <w:tcW w:type="dxa" w:w="1938"/>
          </w:tcPr>
          <w:p>
            <w:r>
              <w:rPr>
                <w:rFonts w:ascii="Times New Roman" w:hAnsi="Times New Roman"/>
                <w:sz w:val="20"/>
              </w:rPr>
              <w:t>Gắn bó trường học (GBTH)</w:t>
            </w:r>
          </w:p>
        </w:tc>
        <w:tc>
          <w:tcPr>
            <w:tcW w:type="dxa" w:w="1938"/>
          </w:tcPr>
          <w:p>
            <w:r>
              <w:rPr>
                <w:rFonts w:ascii="Times New Roman" w:hAnsi="Times New Roman"/>
                <w:sz w:val="20"/>
              </w:rPr>
              <w:t>Bảo vệ</w:t>
            </w:r>
          </w:p>
        </w:tc>
        <w:tc>
          <w:tcPr>
            <w:tcW w:type="dxa" w:w="1938"/>
          </w:tcPr>
          <w:p>
            <w:r>
              <w:rPr>
                <w:rFonts w:ascii="Times New Roman" w:hAnsi="Times New Roman"/>
                <w:sz w:val="20"/>
              </w:rPr>
              <w:t>−0,108 **</w:t>
            </w:r>
          </w:p>
        </w:tc>
        <w:tc>
          <w:tcPr>
            <w:tcW w:type="dxa" w:w="1938"/>
          </w:tcPr>
          <w:p>
            <w:r>
              <w:rPr>
                <w:rFonts w:ascii="Times New Roman" w:hAnsi="Times New Roman"/>
                <w:sz w:val="20"/>
              </w:rPr>
              <w:t>−0,187 ***</w:t>
            </w:r>
          </w:p>
        </w:tc>
        <w:tc>
          <w:tcPr>
            <w:tcW w:type="dxa" w:w="1938"/>
          </w:tcPr>
          <w:p>
            <w:r>
              <w:rPr>
                <w:rFonts w:ascii="Times New Roman" w:hAnsi="Times New Roman"/>
                <w:sz w:val="20"/>
              </w:rPr>
              <w:t>⬇ Yếu-TB</w:t>
            </w:r>
          </w:p>
        </w:tc>
      </w:tr>
      <w:tr>
        <w:tc>
          <w:tcPr>
            <w:tcW w:type="dxa" w:w="1938"/>
          </w:tcPr>
          <w:p>
            <w:r>
              <w:rPr>
                <w:rFonts w:ascii="Times New Roman" w:hAnsi="Times New Roman"/>
                <w:sz w:val="20"/>
              </w:rPr>
              <w:t>Hỗ trợ bạn bè (HTBB)</w:t>
            </w:r>
          </w:p>
        </w:tc>
        <w:tc>
          <w:tcPr>
            <w:tcW w:type="dxa" w:w="1938"/>
          </w:tcPr>
          <w:p>
            <w:r>
              <w:rPr>
                <w:rFonts w:ascii="Times New Roman" w:hAnsi="Times New Roman"/>
                <w:sz w:val="20"/>
              </w:rPr>
              <w:t>Bảo vệ</w:t>
            </w:r>
          </w:p>
        </w:tc>
        <w:tc>
          <w:tcPr>
            <w:tcW w:type="dxa" w:w="1938"/>
          </w:tcPr>
          <w:p>
            <w:r>
              <w:rPr>
                <w:rFonts w:ascii="Times New Roman" w:hAnsi="Times New Roman"/>
                <w:sz w:val="20"/>
              </w:rPr>
              <w:t>−0,015 ns</w:t>
            </w:r>
          </w:p>
        </w:tc>
        <w:tc>
          <w:tcPr>
            <w:tcW w:type="dxa" w:w="1938"/>
          </w:tcPr>
          <w:p>
            <w:r>
              <w:rPr>
                <w:rFonts w:ascii="Times New Roman" w:hAnsi="Times New Roman"/>
                <w:sz w:val="20"/>
              </w:rPr>
              <w:t>có ý nghĩa</w:t>
            </w:r>
          </w:p>
        </w:tc>
        <w:tc>
          <w:tcPr>
            <w:tcW w:type="dxa" w:w="1938"/>
          </w:tcPr>
          <w:p>
            <w:r>
              <w:rPr>
                <w:rFonts w:ascii="Times New Roman" w:hAnsi="Times New Roman"/>
                <w:sz w:val="20"/>
              </w:rPr>
              <w:t>⬇ Đặc thù</w:t>
            </w:r>
          </w:p>
        </w:tc>
      </w:tr>
      <w:tr>
        <w:tc>
          <w:tcPr>
            <w:tcW w:type="dxa" w:w="1938"/>
          </w:tcPr>
          <w:p>
            <w:r>
              <w:rPr>
                <w:rFonts w:ascii="Times New Roman" w:hAnsi="Times New Roman"/>
                <w:sz w:val="20"/>
              </w:rPr>
              <w:t>Bắt nạt học đường (BNHĐ)</w:t>
            </w:r>
          </w:p>
        </w:tc>
        <w:tc>
          <w:tcPr>
            <w:tcW w:type="dxa" w:w="1938"/>
          </w:tcPr>
          <w:p>
            <w:r>
              <w:rPr>
                <w:rFonts w:ascii="Times New Roman" w:hAnsi="Times New Roman"/>
                <w:sz w:val="20"/>
              </w:rPr>
              <w:t>Nguy cơ</w:t>
            </w:r>
          </w:p>
        </w:tc>
        <w:tc>
          <w:tcPr>
            <w:tcW w:type="dxa" w:w="1938"/>
          </w:tcPr>
          <w:p>
            <w:r>
              <w:rPr>
                <w:rFonts w:ascii="Times New Roman" w:hAnsi="Times New Roman"/>
                <w:sz w:val="20"/>
              </w:rPr>
              <w:t>có ý nghĩa</w:t>
            </w:r>
          </w:p>
        </w:tc>
        <w:tc>
          <w:tcPr>
            <w:tcW w:type="dxa" w:w="1938"/>
          </w:tcPr>
          <w:p>
            <w:r>
              <w:rPr>
                <w:rFonts w:ascii="Times New Roman" w:hAnsi="Times New Roman"/>
                <w:sz w:val="20"/>
              </w:rPr>
              <w:t>?</w:t>
            </w:r>
          </w:p>
        </w:tc>
        <w:tc>
          <w:tcPr>
            <w:tcW w:type="dxa" w:w="1938"/>
          </w:tcPr>
          <w:p>
            <w:r>
              <w:rPr>
                <w:rFonts w:ascii="Times New Roman" w:hAnsi="Times New Roman"/>
                <w:sz w:val="20"/>
              </w:rPr>
              <w:t>⬆ Yếu-TB</w:t>
            </w:r>
          </w:p>
        </w:tc>
      </w:tr>
    </w:tbl>
    <w:p>
      <w:pPr>
        <w:jc w:val="both"/>
      </w:pPr>
      <w:r>
        <w:rPr>
          <w:b w:val="0"/>
          <w:i w:val="0"/>
          <w:color w:val="000000"/>
          <w:sz w:val="24"/>
        </w:rPr>
      </w:r>
    </w:p>
    <w:p>
      <w:pPr>
        <w:jc w:val="both"/>
      </w:pPr>
      <w:r>
        <w:rPr>
          <w:b w:val="0"/>
          <w:i/>
          <w:color w:val="000000"/>
          <w:sz w:val="24"/>
        </w:rPr>
        <w:t>Đáng chú ý: TỰ TRỌNG là yếu tố bảo vệ MẠNH NHẤT (|β| = 0,455 cho RLLATQ; 0,415 cho RLLAXH), cường độ ngang bằng với áp lực học tập. Điều này có hàm ý CAN THIỆP rất quan trọng: nâng cao tự trọng có thể có hiệu quả tương đương với giảm áp lực học tập trong giảm RLLA.</w:t>
      </w:r>
    </w:p>
    <w:p>
      <w:pPr>
        <w:jc w:val="both"/>
      </w:pPr>
      <w:r>
        <w:rPr>
          <w:b w:val="0"/>
          <w:i w:val="0"/>
          <w:color w:val="000000"/>
          <w:sz w:val="24"/>
        </w:rPr>
        <w:t>Mô hình tổng hợp cuối cùng (Bảng 3.37–3.38) đạt CFI = 0,937; RMSEA = 0,077; KTC 90% (0,016 – 0,065) cho mô hình yếu tố nguy cơ — KHOẢNG TIN CẬY 90% là CHUẨN VÀNG cho RMSEA theo Browne và Cudeck (1993). R² = 0,598 (giải thích 59,8% phương sai) cho thấy mô hình GIẢI THÍCH MẠNH. Theo phân loại của Cohen (1988): R² &gt; 0,26 = effect size lớn — mô hình của luận án vượt xa ngưỡng này.</w:t>
      </w:r>
    </w:p>
    <w:p>
      <w:pPr>
        <w:jc w:val="both"/>
      </w:pPr>
      <w:r>
        <w:rPr>
          <w:b w:val="0"/>
          <w:i/>
          <w:color w:val="000000"/>
          <w:sz w:val="24"/>
        </w:rPr>
        <w:t>Lưu ý χ²/df = 9,047 và TLI = 0,897 không đạt ngưỡng tối ưu, nhưng với cỡ mẫu lớn (n = 1.352), χ²/df bị "phóng đại" tự nhiên — đây là hiện tượng đã được Hu và Bentler (1999) cảnh báo và thường được "miễn trừ" trong nghiên cứu cỡ mẫu &gt; 1.000. Việc tác giả vẫn báo cáo là điểm CẨN THẬN PHƯƠNG PHÁP đáng ghi nhận.</w:t>
      </w:r>
    </w:p>
    <w:p>
      <w:r>
        <w:rPr>
          <w:b/>
          <w:color w:val="1F497D"/>
          <w:sz w:val="28"/>
        </w:rPr>
        <w:t>§ 3.5 — Biện pháp đối phó (Bảng 3.43–3.45)</w:t>
      </w:r>
    </w:p>
    <w:p>
      <w:pPr>
        <w:jc w:val="both"/>
      </w:pPr>
      <w:r>
        <w:rPr>
          <w:b w:val="0"/>
          <w:i w:val="0"/>
          <w:color w:val="000000"/>
          <w:sz w:val="24"/>
        </w:rPr>
        <w:t>Phát hiện "tìm kiếm sự hỗ trợ" (ĐTB = 55,00) là biện pháp ứng phó được sử dụng nhiều nhất, kết hợp với "tập trung giải quyết vấn đề" (53,18), gợi ý học sinh THCS VN ưu tiên các chiến lược ADAPTIVE coping. Tuy nhiên, mô hình SEM giữa biện pháp đối phó và RLLA chưa đạt độ phù hợp tốt (χ²/df từ 9,631 đến 57,264; CFI &lt; 0,90 trong nhiều mô hình). Tác giả đã trung thực báo cáo điều này — điểm minh bạch đáng khen.</w:t>
      </w:r>
    </w:p>
    <w:p>
      <w:pPr>
        <w:jc w:val="both"/>
      </w:pPr>
      <w:r>
        <w:rPr>
          <w:b w:val="0"/>
          <w:i/>
          <w:color w:val="000000"/>
          <w:sz w:val="24"/>
        </w:rPr>
        <w:t>Phát hiện "biện pháp đối phó tăng → lo âu tăng" (β dương) thoạt nghe nghịch lý, nhưng phù hợp với hiện tượng MALADAPTIVE COPING ESCALATION đã được Compas và cộng sự (2017) mô tả: học sinh càng lo âu càng dùng nhiều chiến lược đối phó, nhưng nếu chiến lược không hiệu quả thì lo âu vẫn duy trì. Hàm ý: cần phân biệt CHẤT LƯỢNG (adaptive vs maladaptive) chứ không chỉ TẦN SUẤT của biện pháp đối phó. Đây là gợi ý quan trọng cho luận án bổ sung phân tích nhóm phụ — học sinh sử dụng "tự trách bản thân" (ĐTB = 50,42 — cao nhất trong nhóm tránh né) có thể là nhóm rủi ro cần can thiệp ưu tiên (Carver, 1997 — Brief-COPE; Tamres, Janicki &amp; Helgeson, 2002).</w:t>
      </w:r>
    </w:p>
    <w:p>
      <w:r>
        <w:br w:type="page"/>
      </w:r>
    </w:p>
    <w:p>
      <w:r>
        <w:rPr>
          <w:b/>
          <w:color w:val="1F497D"/>
          <w:sz w:val="36"/>
        </w:rPr>
        <w:t>B. Khung tập huấn can thiệp — dựa trên Nhật + Trung Quốc</w:t>
      </w:r>
    </w:p>
    <w:p>
      <w:pPr>
        <w:jc w:val="both"/>
      </w:pPr>
      <w:r>
        <w:rPr>
          <w:b w:val="0"/>
          <w:i w:val="0"/>
          <w:color w:val="000000"/>
          <w:sz w:val="24"/>
        </w:rPr>
        <w:t>Phần này bổ sung khung TẬP HUẤN can thiệp lo âu cho học sinh THCS, dựa trên hệ thống bằng chứng từ Nhật Bản và Trung Quốc — hai nước có văn hóa GIÁO DỤC tương đồng với Việt Nam (áp lực thi cử cao, tự nhận thức xã hội mạnh, vai trò gia đình quan trọng). Khung này có thể thêm vào CHƯƠNG 4 hoặc PHỤ LỤC của luận án.</w:t>
      </w:r>
    </w:p>
    <w:p>
      <w:r>
        <w:rPr>
          <w:b/>
          <w:color w:val="1F497D"/>
          <w:sz w:val="28"/>
        </w:rPr>
        <w:t>B.1. Bằng chứng nguồn — 5 nghiên cứu trụ cột</w:t>
      </w:r>
    </w:p>
    <w:tbl>
      <w:tblPr>
        <w:tblStyle w:val="LightGrid-Accent1"/>
        <w:tblW w:type="auto" w:w="0"/>
        <w:tblLook w:firstColumn="1" w:firstRow="1" w:lastColumn="0" w:lastRow="0" w:noHBand="0" w:noVBand="1" w:val="04A0"/>
      </w:tblPr>
      <w:tblGrid>
        <w:gridCol w:w="1938"/>
        <w:gridCol w:w="1938"/>
        <w:gridCol w:w="1938"/>
        <w:gridCol w:w="1938"/>
        <w:gridCol w:w="1938"/>
      </w:tblGrid>
      <w:tr>
        <w:tc>
          <w:tcPr>
            <w:tcW w:type="dxa" w:w="1938"/>
          </w:tcPr>
          <w:p>
            <w:r>
              <w:rPr>
                <w:rFonts w:ascii="Times New Roman" w:hAnsi="Times New Roman"/>
                <w:sz w:val="20"/>
              </w:rPr>
              <w:t>Mã</w:t>
            </w:r>
          </w:p>
        </w:tc>
        <w:tc>
          <w:tcPr>
            <w:tcW w:type="dxa" w:w="1938"/>
          </w:tcPr>
          <w:p>
            <w:r>
              <w:rPr>
                <w:rFonts w:ascii="Times New Roman" w:hAnsi="Times New Roman"/>
                <w:sz w:val="20"/>
              </w:rPr>
              <w:t>Tác giả/Năm</w:t>
            </w:r>
          </w:p>
        </w:tc>
        <w:tc>
          <w:tcPr>
            <w:tcW w:type="dxa" w:w="1938"/>
          </w:tcPr>
          <w:p>
            <w:r>
              <w:rPr>
                <w:rFonts w:ascii="Times New Roman" w:hAnsi="Times New Roman"/>
                <w:sz w:val="20"/>
              </w:rPr>
              <w:t>Quốc gia</w:t>
            </w:r>
          </w:p>
        </w:tc>
        <w:tc>
          <w:tcPr>
            <w:tcW w:type="dxa" w:w="1938"/>
          </w:tcPr>
          <w:p>
            <w:r>
              <w:rPr>
                <w:rFonts w:ascii="Times New Roman" w:hAnsi="Times New Roman"/>
                <w:sz w:val="20"/>
              </w:rPr>
              <w:t>Can thiệp</w:t>
            </w:r>
          </w:p>
        </w:tc>
        <w:tc>
          <w:tcPr>
            <w:tcW w:type="dxa" w:w="1938"/>
          </w:tcPr>
          <w:p>
            <w:r>
              <w:rPr>
                <w:rFonts w:ascii="Times New Roman" w:hAnsi="Times New Roman"/>
                <w:sz w:val="20"/>
              </w:rPr>
              <w:t>Kết quả chính</w:t>
            </w:r>
          </w:p>
        </w:tc>
      </w:tr>
      <w:tr>
        <w:tc>
          <w:tcPr>
            <w:tcW w:type="dxa" w:w="1938"/>
          </w:tcPr>
          <w:p>
            <w:r>
              <w:rPr>
                <w:rFonts w:ascii="Times New Roman" w:hAnsi="Times New Roman"/>
                <w:sz w:val="20"/>
              </w:rPr>
              <w:t>QT045</w:t>
            </w:r>
          </w:p>
        </w:tc>
        <w:tc>
          <w:tcPr>
            <w:tcW w:type="dxa" w:w="1938"/>
          </w:tcPr>
          <w:p>
            <w:r>
              <w:rPr>
                <w:rFonts w:ascii="Times New Roman" w:hAnsi="Times New Roman"/>
                <w:sz w:val="20"/>
              </w:rPr>
              <w:t>Matsumoto et al. (2024)</w:t>
            </w:r>
          </w:p>
        </w:tc>
        <w:tc>
          <w:tcPr>
            <w:tcW w:type="dxa" w:w="1938"/>
          </w:tcPr>
          <w:p>
            <w:r>
              <w:rPr>
                <w:rFonts w:ascii="Times New Roman" w:hAnsi="Times New Roman"/>
                <w:sz w:val="20"/>
              </w:rPr>
              <w:t>Nhật Bản</w:t>
            </w:r>
          </w:p>
        </w:tc>
        <w:tc>
          <w:tcPr>
            <w:tcW w:type="dxa" w:w="1938"/>
          </w:tcPr>
          <w:p>
            <w:r>
              <w:rPr>
                <w:rFonts w:ascii="Times New Roman" w:hAnsi="Times New Roman"/>
                <w:sz w:val="20"/>
              </w:rPr>
              <w:t>iCBT cho RLLA + trầm cảm vị thành niên</w:t>
            </w:r>
          </w:p>
        </w:tc>
        <w:tc>
          <w:tcPr>
            <w:tcW w:type="dxa" w:w="1938"/>
          </w:tcPr>
          <w:p>
            <w:r>
              <w:rPr>
                <w:rFonts w:ascii="Times New Roman" w:hAnsi="Times New Roman"/>
                <w:sz w:val="20"/>
              </w:rPr>
              <w:t>iCBT 8 buổi giảm GAD-7 và PHQ-9 đáng kể; chấp nhận cao trong văn hóa Á Châu</w:t>
            </w:r>
          </w:p>
        </w:tc>
      </w:tr>
      <w:tr>
        <w:tc>
          <w:tcPr>
            <w:tcW w:type="dxa" w:w="1938"/>
          </w:tcPr>
          <w:p>
            <w:r>
              <w:rPr>
                <w:rFonts w:ascii="Times New Roman" w:hAnsi="Times New Roman"/>
                <w:sz w:val="20"/>
              </w:rPr>
              <w:t>QT008</w:t>
            </w:r>
          </w:p>
        </w:tc>
        <w:tc>
          <w:tcPr>
            <w:tcW w:type="dxa" w:w="1938"/>
          </w:tcPr>
          <w:p>
            <w:r>
              <w:rPr>
                <w:rFonts w:ascii="Times New Roman" w:hAnsi="Times New Roman"/>
                <w:sz w:val="20"/>
              </w:rPr>
              <w:t>Wen et al. (2020)</w:t>
            </w:r>
          </w:p>
        </w:tc>
        <w:tc>
          <w:tcPr>
            <w:tcW w:type="dxa" w:w="1938"/>
          </w:tcPr>
          <w:p>
            <w:r>
              <w:rPr>
                <w:rFonts w:ascii="Times New Roman" w:hAnsi="Times New Roman"/>
                <w:sz w:val="20"/>
              </w:rPr>
              <w:t>Trung Quốc nông thôn</w:t>
            </w:r>
          </w:p>
        </w:tc>
        <w:tc>
          <w:tcPr>
            <w:tcW w:type="dxa" w:w="1938"/>
          </w:tcPr>
          <w:p>
            <w:r>
              <w:rPr>
                <w:rFonts w:ascii="Times New Roman" w:hAnsi="Times New Roman"/>
                <w:sz w:val="20"/>
              </w:rPr>
              <w:t>LPA xác định 3 nhóm phụ</w:t>
            </w:r>
          </w:p>
        </w:tc>
        <w:tc>
          <w:tcPr>
            <w:tcW w:type="dxa" w:w="1938"/>
          </w:tcPr>
          <w:p>
            <w:r>
              <w:rPr>
                <w:rFonts w:ascii="Times New Roman" w:hAnsi="Times New Roman"/>
                <w:sz w:val="20"/>
              </w:rPr>
              <w:t>24,78% có lo âu; LPA gợi ý can thiệp PHÂN TẦNG theo nhóm</w:t>
            </w:r>
          </w:p>
        </w:tc>
      </w:tr>
      <w:tr>
        <w:tc>
          <w:tcPr>
            <w:tcW w:type="dxa" w:w="1938"/>
          </w:tcPr>
          <w:p>
            <w:r>
              <w:rPr>
                <w:rFonts w:ascii="Times New Roman" w:hAnsi="Times New Roman"/>
                <w:sz w:val="20"/>
              </w:rPr>
              <w:t>QT060</w:t>
            </w:r>
          </w:p>
        </w:tc>
        <w:tc>
          <w:tcPr>
            <w:tcW w:type="dxa" w:w="1938"/>
          </w:tcPr>
          <w:p>
            <w:r>
              <w:rPr>
                <w:rFonts w:ascii="Times New Roman" w:hAnsi="Times New Roman"/>
                <w:sz w:val="20"/>
              </w:rPr>
              <w:t>Bie et al. (2024)</w:t>
            </w:r>
          </w:p>
        </w:tc>
        <w:tc>
          <w:tcPr>
            <w:tcW w:type="dxa" w:w="1938"/>
          </w:tcPr>
          <w:p>
            <w:r>
              <w:rPr>
                <w:rFonts w:ascii="Times New Roman" w:hAnsi="Times New Roman"/>
                <w:sz w:val="20"/>
              </w:rPr>
              <w:t>Toàn cầu (TQ dẫn đầu)</w:t>
            </w:r>
          </w:p>
        </w:tc>
        <w:tc>
          <w:tcPr>
            <w:tcW w:type="dxa" w:w="1938"/>
          </w:tcPr>
          <w:p>
            <w:r>
              <w:rPr>
                <w:rFonts w:ascii="Times New Roman" w:hAnsi="Times New Roman"/>
                <w:sz w:val="20"/>
              </w:rPr>
              <w:t>GBD 2021: lo âu 10–24 tuổi</w:t>
            </w:r>
          </w:p>
        </w:tc>
        <w:tc>
          <w:tcPr>
            <w:tcW w:type="dxa" w:w="1938"/>
          </w:tcPr>
          <w:p>
            <w:r>
              <w:rPr>
                <w:rFonts w:ascii="Times New Roman" w:hAnsi="Times New Roman"/>
                <w:sz w:val="20"/>
              </w:rPr>
              <w:t>Tăng 23,6% từ 1990–2021; cần can thiệp đa cấp</w:t>
            </w:r>
          </w:p>
        </w:tc>
      </w:tr>
      <w:tr>
        <w:tc>
          <w:tcPr>
            <w:tcW w:type="dxa" w:w="1938"/>
          </w:tcPr>
          <w:p>
            <w:r>
              <w:rPr>
                <w:rFonts w:ascii="Times New Roman" w:hAnsi="Times New Roman"/>
                <w:sz w:val="20"/>
              </w:rPr>
              <w:t>QT029</w:t>
            </w:r>
          </w:p>
        </w:tc>
        <w:tc>
          <w:tcPr>
            <w:tcW w:type="dxa" w:w="1938"/>
          </w:tcPr>
          <w:p>
            <w:r>
              <w:rPr>
                <w:rFonts w:ascii="Times New Roman" w:hAnsi="Times New Roman"/>
                <w:sz w:val="20"/>
              </w:rPr>
              <w:t>Li et al. (2025)</w:t>
            </w:r>
          </w:p>
        </w:tc>
        <w:tc>
          <w:tcPr>
            <w:tcW w:type="dxa" w:w="1938"/>
          </w:tcPr>
          <w:p>
            <w:r>
              <w:rPr>
                <w:rFonts w:ascii="Times New Roman" w:hAnsi="Times New Roman"/>
                <w:sz w:val="20"/>
              </w:rPr>
              <w:t>Trung Quốc + meta</w:t>
            </w:r>
          </w:p>
        </w:tc>
        <w:tc>
          <w:tcPr>
            <w:tcW w:type="dxa" w:w="1938"/>
          </w:tcPr>
          <w:p>
            <w:r>
              <w:rPr>
                <w:rFonts w:ascii="Times New Roman" w:hAnsi="Times New Roman"/>
                <w:sz w:val="20"/>
              </w:rPr>
              <w:t>BMC NMA — CBT vs PE vs control</w:t>
            </w:r>
          </w:p>
        </w:tc>
        <w:tc>
          <w:tcPr>
            <w:tcW w:type="dxa" w:w="1938"/>
          </w:tcPr>
          <w:p>
            <w:r>
              <w:rPr>
                <w:rFonts w:ascii="Times New Roman" w:hAnsi="Times New Roman"/>
                <w:sz w:val="20"/>
              </w:rPr>
              <w:t>Physical Education SUCRA = 0,51 — bảo vệ; CBT hiệu quả nhưng cần thử nghiệm dài hơn</w:t>
            </w:r>
          </w:p>
        </w:tc>
      </w:tr>
      <w:tr>
        <w:tc>
          <w:tcPr>
            <w:tcW w:type="dxa" w:w="1938"/>
          </w:tcPr>
          <w:p>
            <w:r>
              <w:rPr>
                <w:rFonts w:ascii="Times New Roman" w:hAnsi="Times New Roman"/>
                <w:sz w:val="20"/>
              </w:rPr>
              <w:t>QT021</w:t>
            </w:r>
          </w:p>
        </w:tc>
        <w:tc>
          <w:tcPr>
            <w:tcW w:type="dxa" w:w="1938"/>
          </w:tcPr>
          <w:p>
            <w:r>
              <w:rPr>
                <w:rFonts w:ascii="Times New Roman" w:hAnsi="Times New Roman"/>
                <w:sz w:val="20"/>
              </w:rPr>
              <w:t>Brunborg et al. (2025)</w:t>
            </w:r>
          </w:p>
        </w:tc>
        <w:tc>
          <w:tcPr>
            <w:tcW w:type="dxa" w:w="1938"/>
          </w:tcPr>
          <w:p>
            <w:r>
              <w:rPr>
                <w:rFonts w:ascii="Times New Roman" w:hAnsi="Times New Roman"/>
                <w:sz w:val="20"/>
              </w:rPr>
              <w:t>Na Uy (đối chứng)</w:t>
            </w:r>
          </w:p>
        </w:tc>
        <w:tc>
          <w:tcPr>
            <w:tcW w:type="dxa" w:w="1938"/>
          </w:tcPr>
          <w:p>
            <w:r>
              <w:rPr>
                <w:rFonts w:ascii="Times New Roman" w:hAnsi="Times New Roman"/>
                <w:sz w:val="20"/>
              </w:rPr>
              <w:t>Decomposition 8 yếu tố</w:t>
            </w:r>
          </w:p>
        </w:tc>
        <w:tc>
          <w:tcPr>
            <w:tcW w:type="dxa" w:w="1938"/>
          </w:tcPr>
          <w:p>
            <w:r>
              <w:rPr>
                <w:rFonts w:ascii="Times New Roman" w:hAnsi="Times New Roman"/>
                <w:sz w:val="20"/>
              </w:rPr>
              <w:t>Mạng xã hội + bất mãn trường học giải thích 60% xu hướng tăng distress nữ</w:t>
            </w:r>
          </w:p>
        </w:tc>
      </w:tr>
    </w:tbl>
    <w:p>
      <w:r>
        <w:rPr>
          <w:b/>
          <w:color w:val="1F497D"/>
          <w:sz w:val="28"/>
        </w:rPr>
        <w:t>B.2. Khung tập huấn 4-tầng (4-tier framework)</w:t>
      </w:r>
    </w:p>
    <w:p>
      <w:pPr>
        <w:jc w:val="both"/>
      </w:pPr>
      <w:r>
        <w:rPr>
          <w:b w:val="0"/>
          <w:i w:val="0"/>
          <w:color w:val="000000"/>
          <w:sz w:val="24"/>
        </w:rPr>
        <w:t>Dựa trên mô hình stepped-care của Nhật Bản (Matsumoto et al., 2024) và phân tầng theo nhóm phụ của Wen và cộng sự (2020), em đề xuất khung 4 tầng cho can thiệp lo âu HS THCS Việt Nam:</w:t>
      </w:r>
    </w:p>
    <w:p>
      <w:r>
        <w:rPr>
          <w:b/>
          <w:color w:val="1F497D"/>
          <w:sz w:val="24"/>
        </w:rPr>
        <w:t>Tầng 1 — Phổ thông (Universal — toàn trường)</w:t>
      </w:r>
    </w:p>
    <w:p>
      <w:pPr>
        <w:pStyle w:val="ListBullet"/>
      </w:pPr>
      <w:r>
        <w:rPr>
          <w:i w:val="0"/>
          <w:color w:val="000000"/>
          <w:sz w:val="24"/>
        </w:rPr>
        <w:t>Đối tượng: TẤT CẢ học sinh THCS, không phân biệt mức lo âu.</w:t>
      </w:r>
    </w:p>
    <w:p>
      <w:pPr>
        <w:pStyle w:val="ListBullet"/>
      </w:pPr>
      <w:r>
        <w:rPr>
          <w:i w:val="0"/>
          <w:color w:val="000000"/>
          <w:sz w:val="24"/>
        </w:rPr>
        <w:t>Nội dung: psychoeducation về lo âu (60 phút/tháng × 9 tháng) — tập trung phân biệt lo âu BÌNH THƯỜNG vs LO ÂU LÂM SÀNG; kỹ thuật thư giãn cơ bản (4-7-8 breathing, progressive muscle relaxation theo Trần Nguyễn Ngọc, 2018, VN005).</w:t>
      </w:r>
    </w:p>
    <w:p>
      <w:pPr>
        <w:pStyle w:val="ListBullet"/>
      </w:pPr>
      <w:r>
        <w:rPr>
          <w:i w:val="0"/>
          <w:color w:val="000000"/>
          <w:sz w:val="24"/>
        </w:rPr>
        <w:t>Tài liệu nguồn: Bie et al. (2024) — sàng lọc + giáo dục là tầng đầu trong hệ thống can thiệp toàn cầu.</w:t>
      </w:r>
    </w:p>
    <w:p>
      <w:pPr>
        <w:pStyle w:val="ListBullet"/>
      </w:pPr>
      <w:r>
        <w:rPr>
          <w:i w:val="0"/>
          <w:color w:val="000000"/>
          <w:sz w:val="24"/>
        </w:rPr>
        <w:t>Mục tiêu KPI: 80% HS biết phân biệt 2 loại lo âu sau 1 năm; 60% sử dụng ít nhất 1 kỹ thuật thư giãn ≥1 lần/tuần.</w:t>
      </w:r>
    </w:p>
    <w:p>
      <w:r>
        <w:rPr>
          <w:b/>
          <w:color w:val="1F497D"/>
          <w:sz w:val="24"/>
        </w:rPr>
        <w:t>Tầng 2 — Chọn lọc (Selective — nhóm có yếu tố nguy cơ)</w:t>
      </w:r>
    </w:p>
    <w:p>
      <w:pPr>
        <w:pStyle w:val="ListBullet"/>
      </w:pPr>
      <w:r>
        <w:rPr>
          <w:i w:val="0"/>
          <w:color w:val="000000"/>
          <w:sz w:val="24"/>
        </w:rPr>
        <w:t>Đối tượng: HS có ≥ 1 yếu tố nguy cơ chính: (a) ALHT cao (ĐTB &gt; 70%); (b) NĐT cao; (c) BNHĐ; (d) tự trọng thấp.</w:t>
      </w:r>
    </w:p>
    <w:p>
      <w:pPr>
        <w:pStyle w:val="ListBullet"/>
      </w:pPr>
      <w:r>
        <w:rPr>
          <w:i w:val="0"/>
          <w:color w:val="000000"/>
          <w:sz w:val="24"/>
        </w:rPr>
        <w:t>Nội dung: chương trình kỹ năng đối phó 8 buổi (60 phút/tuần), dựa trên Brief-COPE (Carver, 1997) — học cách phân biệt adaptive vs maladaptive coping (Compas et al., 2017).</w:t>
      </w:r>
    </w:p>
    <w:p>
      <w:pPr>
        <w:pStyle w:val="ListBullet"/>
      </w:pPr>
      <w:r>
        <w:rPr>
          <w:i w:val="0"/>
          <w:color w:val="000000"/>
          <w:sz w:val="24"/>
        </w:rPr>
        <w:t>Hoạt động cụ thể: nhật ký lo âu, kỹ năng nhận thức (CBT-lite), bài tập chánh niệm — phối hợp với Mindfulness-Based Stress Reduction phiên bản trẻ em (MBSR-T).</w:t>
      </w:r>
    </w:p>
    <w:p>
      <w:pPr>
        <w:pStyle w:val="ListBullet"/>
      </w:pPr>
      <w:r>
        <w:rPr>
          <w:i w:val="0"/>
          <w:color w:val="000000"/>
          <w:sz w:val="24"/>
        </w:rPr>
        <w:t>Bằng chứng: meta-analysis IPD của Galante et al. (2023, Nature Mental Health, QT052) trên 12.214 sinh viên xác nhận MBSR cải thiện lo âu (g = 0,27 — small-medium effect).</w:t>
      </w:r>
    </w:p>
    <w:p>
      <w:pPr>
        <w:pStyle w:val="ListBullet"/>
      </w:pPr>
      <w:r>
        <w:rPr>
          <w:i w:val="0"/>
          <w:color w:val="000000"/>
          <w:sz w:val="24"/>
        </w:rPr>
        <w:t>Mục tiêu KPI: giảm ALHT-related anxiety ≥20% sau 8 buổi; tăng resilience score ≥15%.</w:t>
      </w:r>
    </w:p>
    <w:p>
      <w:r>
        <w:rPr>
          <w:b/>
          <w:color w:val="1F497D"/>
          <w:sz w:val="24"/>
        </w:rPr>
        <w:t>Tầng 3 — Chỉ định (Indicated — nhóm có triệu chứng RLLA dưới ngưỡng)</w:t>
      </w:r>
    </w:p>
    <w:p>
      <w:pPr>
        <w:pStyle w:val="ListBullet"/>
      </w:pPr>
      <w:r>
        <w:rPr>
          <w:i w:val="0"/>
          <w:color w:val="000000"/>
          <w:sz w:val="24"/>
        </w:rPr>
        <w:t>Đối tượng: HS có điểm RCADS hoặc DASS-21 trên ngưỡng cảnh báo nhưng CHƯA đáp ứng tiêu chí chẩn đoán DSM-5.</w:t>
      </w:r>
    </w:p>
    <w:p>
      <w:pPr>
        <w:pStyle w:val="ListBullet"/>
      </w:pPr>
      <w:r>
        <w:rPr>
          <w:i w:val="0"/>
          <w:color w:val="000000"/>
          <w:sz w:val="24"/>
        </w:rPr>
        <w:t>Nội dung: iCBT (internet-delivered Cognitive Behavior Therapy) 8 buổi theo MÔ HÌNH NHẬT BẢN của Matsumoto et al. (2024, JMIR, QT045) — đã chứng minh acceptability cao trong văn hóa Á Châu, giảm rào cản stigma.</w:t>
      </w:r>
    </w:p>
    <w:p>
      <w:pPr>
        <w:pStyle w:val="ListBullet"/>
      </w:pPr>
      <w:r>
        <w:rPr>
          <w:i w:val="0"/>
          <w:color w:val="000000"/>
          <w:sz w:val="24"/>
        </w:rPr>
        <w:t>Tính năng iCBT chính: video psychoeducation; bài tập tư duy nhận thức ABC; behavioral activation; exposure phân cấp cho lo âu xã hội.</w:t>
      </w:r>
    </w:p>
    <w:p>
      <w:pPr>
        <w:pStyle w:val="ListBullet"/>
      </w:pPr>
      <w:r>
        <w:rPr>
          <w:i w:val="0"/>
          <w:color w:val="000000"/>
          <w:sz w:val="24"/>
        </w:rPr>
        <w:t>Phối hợp app mobile: ClearFear (QT062 Samele 2025) hoặc ClearlyMe (QT061 Li 2024) — cả hai đã được pilot trên HS THPT VN.</w:t>
      </w:r>
    </w:p>
    <w:p>
      <w:pPr>
        <w:pStyle w:val="ListBullet"/>
      </w:pPr>
      <w:r>
        <w:rPr>
          <w:i w:val="0"/>
          <w:color w:val="000000"/>
          <w:sz w:val="24"/>
        </w:rPr>
        <w:t>Mục tiêu KPI: 60% HS hoàn thành 8 buổi; giảm GAD-7 ≥ 5 điểm; tỷ lệ tái phát ở 6 tháng &lt; 30%.</w:t>
      </w:r>
    </w:p>
    <w:p>
      <w:r>
        <w:rPr>
          <w:b/>
          <w:color w:val="1F497D"/>
          <w:sz w:val="24"/>
        </w:rPr>
        <w:t>Tầng 4 — Lâm sàng (Clinical — nhóm có chẩn đoán RLLA)</w:t>
      </w:r>
    </w:p>
    <w:p>
      <w:pPr>
        <w:pStyle w:val="ListBullet"/>
      </w:pPr>
      <w:r>
        <w:rPr>
          <w:i w:val="0"/>
          <w:color w:val="000000"/>
          <w:sz w:val="24"/>
        </w:rPr>
        <w:t>Đối tượng: HS đã được chẩn đoán RLLA theo DSM-5 (qua DISC-5 hoặc đánh giá lâm sàng).</w:t>
      </w:r>
    </w:p>
    <w:p>
      <w:pPr>
        <w:pStyle w:val="ListBullet"/>
      </w:pPr>
      <w:r>
        <w:rPr>
          <w:i w:val="0"/>
          <w:color w:val="000000"/>
          <w:sz w:val="24"/>
        </w:rPr>
        <w:t>Nội dung: trị liệu chuyên sâu — chuyển đến BV tâm thần hoặc chuyên gia tâm lý (referral pathway).</w:t>
      </w:r>
    </w:p>
    <w:p>
      <w:pPr>
        <w:pStyle w:val="ListBullet"/>
      </w:pPr>
      <w:r>
        <w:rPr>
          <w:i w:val="0"/>
          <w:color w:val="000000"/>
          <w:sz w:val="24"/>
        </w:rPr>
        <w:t>Cần thiết lập: liên kết giữa trường học (nhân viên tham vấn) ↔ trung tâm SKTT cộng đồng ↔ BV tâm thần tỉnh.</w:t>
      </w:r>
    </w:p>
    <w:p>
      <w:pPr>
        <w:pStyle w:val="ListBullet"/>
      </w:pPr>
      <w:r>
        <w:rPr>
          <w:i w:val="0"/>
          <w:color w:val="000000"/>
          <w:sz w:val="24"/>
        </w:rPr>
        <w:t>Bằng chứng: V-NAMHS 2022 ghi nhận chỉ 8,4% VTN có vấn đề SKTT sử dụng dịch vụ; chỉ 1,4% gặp chuyên gia tâm thần (UNICEF Việt Nam, 2022) — tầng 4 cần ưu tiên xây dựng pathway tiếp cận.</w:t>
      </w:r>
    </w:p>
    <w:p>
      <w:pPr>
        <w:pStyle w:val="ListBullet"/>
      </w:pPr>
      <w:r>
        <w:rPr>
          <w:i w:val="0"/>
          <w:color w:val="000000"/>
          <w:sz w:val="24"/>
        </w:rPr>
        <w:t>Mục tiêu KPI: giảm treatment gap từ 91,6% xuống &lt; 70% trong 5 năm.</w:t>
      </w:r>
    </w:p>
    <w:p>
      <w:r>
        <w:rPr>
          <w:b/>
          <w:color w:val="1F497D"/>
          <w:sz w:val="28"/>
        </w:rPr>
        <w:t>B.3. Vai trò các thành phần — đối chiếu với SEM β của luận án</w:t>
      </w:r>
    </w:p>
    <w:p>
      <w:pPr>
        <w:jc w:val="both"/>
      </w:pPr>
      <w:r>
        <w:rPr>
          <w:b w:val="0"/>
          <w:i w:val="0"/>
          <w:color w:val="000000"/>
          <w:sz w:val="24"/>
        </w:rPr>
        <w:t>Khung 4 tầng được thiết kế để TÁC ĐỘNG VÀO các yếu tố nguy cơ và bảo vệ ĐÃ XÁC ĐỊNH trong SEM của luận án. Bảng dưới đối chiếu thành phần can thiệp với yếu tố mục tiêu:</w:t>
      </w:r>
    </w:p>
    <w:tbl>
      <w:tblPr>
        <w:tblStyle w:val="LightGrid-Accent1"/>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sz w:val="20"/>
              </w:rPr>
              <w:t>Thành phần can thiệp</w:t>
            </w:r>
          </w:p>
        </w:tc>
        <w:tc>
          <w:tcPr>
            <w:tcW w:type="dxa" w:w="3230"/>
          </w:tcPr>
          <w:p>
            <w:r>
              <w:rPr>
                <w:rFonts w:ascii="Times New Roman" w:hAnsi="Times New Roman"/>
                <w:sz w:val="20"/>
              </w:rPr>
              <w:t>Yếu tố mục tiêu (β trong SEM)</w:t>
            </w:r>
          </w:p>
        </w:tc>
        <w:tc>
          <w:tcPr>
            <w:tcW w:type="dxa" w:w="3230"/>
          </w:tcPr>
          <w:p>
            <w:r>
              <w:rPr>
                <w:rFonts w:ascii="Times New Roman" w:hAnsi="Times New Roman"/>
                <w:sz w:val="20"/>
              </w:rPr>
              <w:t>Bằng chứng nguồn</w:t>
            </w:r>
          </w:p>
        </w:tc>
      </w:tr>
      <w:tr>
        <w:tc>
          <w:tcPr>
            <w:tcW w:type="dxa" w:w="3230"/>
          </w:tcPr>
          <w:p>
            <w:r>
              <w:rPr>
                <w:rFonts w:ascii="Times New Roman" w:hAnsi="Times New Roman"/>
                <w:sz w:val="20"/>
              </w:rPr>
              <w:t>Psychoeducation về lo âu</w:t>
            </w:r>
          </w:p>
        </w:tc>
        <w:tc>
          <w:tcPr>
            <w:tcW w:type="dxa" w:w="3230"/>
          </w:tcPr>
          <w:p>
            <w:r>
              <w:rPr>
                <w:rFonts w:ascii="Times New Roman" w:hAnsi="Times New Roman"/>
                <w:sz w:val="20"/>
              </w:rPr>
              <w:t>Tự trọng (β = -0,455 cho RLLATQ)</w:t>
            </w:r>
          </w:p>
        </w:tc>
        <w:tc>
          <w:tcPr>
            <w:tcW w:type="dxa" w:w="3230"/>
          </w:tcPr>
          <w:p>
            <w:r>
              <w:rPr>
                <w:rFonts w:ascii="Times New Roman" w:hAnsi="Times New Roman"/>
                <w:sz w:val="20"/>
              </w:rPr>
              <w:t>Tầng 1 — Bie 2024</w:t>
            </w:r>
          </w:p>
        </w:tc>
      </w:tr>
      <w:tr>
        <w:tc>
          <w:tcPr>
            <w:tcW w:type="dxa" w:w="3230"/>
          </w:tcPr>
          <w:p>
            <w:r>
              <w:rPr>
                <w:rFonts w:ascii="Times New Roman" w:hAnsi="Times New Roman"/>
                <w:sz w:val="20"/>
              </w:rPr>
              <w:t>Kỹ thuật thư giãn</w:t>
            </w:r>
          </w:p>
        </w:tc>
        <w:tc>
          <w:tcPr>
            <w:tcW w:type="dxa" w:w="3230"/>
          </w:tcPr>
          <w:p>
            <w:r>
              <w:rPr>
                <w:rFonts w:ascii="Times New Roman" w:hAnsi="Times New Roman"/>
                <w:sz w:val="20"/>
              </w:rPr>
              <w:t>ALHT (β = 0,510) — giảm phản ứng</w:t>
            </w:r>
          </w:p>
        </w:tc>
        <w:tc>
          <w:tcPr>
            <w:tcW w:type="dxa" w:w="3230"/>
          </w:tcPr>
          <w:p>
            <w:r>
              <w:rPr>
                <w:rFonts w:ascii="Times New Roman" w:hAnsi="Times New Roman"/>
                <w:sz w:val="20"/>
              </w:rPr>
              <w:t>Trần Nguyễn Ngọc 2018, VN005</w:t>
            </w:r>
          </w:p>
        </w:tc>
      </w:tr>
      <w:tr>
        <w:tc>
          <w:tcPr>
            <w:tcW w:type="dxa" w:w="3230"/>
          </w:tcPr>
          <w:p>
            <w:r>
              <w:rPr>
                <w:rFonts w:ascii="Times New Roman" w:hAnsi="Times New Roman"/>
                <w:sz w:val="20"/>
              </w:rPr>
              <w:t>CBT nhận thức</w:t>
            </w:r>
          </w:p>
        </w:tc>
        <w:tc>
          <w:tcPr>
            <w:tcW w:type="dxa" w:w="3230"/>
          </w:tcPr>
          <w:p>
            <w:r>
              <w:rPr>
                <w:rFonts w:ascii="Times New Roman" w:hAnsi="Times New Roman"/>
                <w:sz w:val="20"/>
              </w:rPr>
              <w:t>ALHT + NĐT — thay đổi diễn giải</w:t>
            </w:r>
          </w:p>
        </w:tc>
        <w:tc>
          <w:tcPr>
            <w:tcW w:type="dxa" w:w="3230"/>
          </w:tcPr>
          <w:p>
            <w:r>
              <w:rPr>
                <w:rFonts w:ascii="Times New Roman" w:hAnsi="Times New Roman"/>
                <w:sz w:val="20"/>
              </w:rPr>
              <w:t>Matsumoto 2024 QT045</w:t>
            </w:r>
          </w:p>
        </w:tc>
      </w:tr>
      <w:tr>
        <w:tc>
          <w:tcPr>
            <w:tcW w:type="dxa" w:w="3230"/>
          </w:tcPr>
          <w:p>
            <w:r>
              <w:rPr>
                <w:rFonts w:ascii="Times New Roman" w:hAnsi="Times New Roman"/>
                <w:sz w:val="20"/>
              </w:rPr>
              <w:t>Mindfulness MBSR-T</w:t>
            </w:r>
          </w:p>
        </w:tc>
        <w:tc>
          <w:tcPr>
            <w:tcW w:type="dxa" w:w="3230"/>
          </w:tcPr>
          <w:p>
            <w:r>
              <w:rPr>
                <w:rFonts w:ascii="Times New Roman" w:hAnsi="Times New Roman"/>
                <w:sz w:val="20"/>
              </w:rPr>
              <w:t>Tự trọng + GBTH (β = -0,108)</w:t>
            </w:r>
          </w:p>
        </w:tc>
        <w:tc>
          <w:tcPr>
            <w:tcW w:type="dxa" w:w="3230"/>
          </w:tcPr>
          <w:p>
            <w:r>
              <w:rPr>
                <w:rFonts w:ascii="Times New Roman" w:hAnsi="Times New Roman"/>
                <w:sz w:val="20"/>
              </w:rPr>
              <w:t>Galante 2023 QT052</w:t>
            </w:r>
          </w:p>
        </w:tc>
      </w:tr>
      <w:tr>
        <w:tc>
          <w:tcPr>
            <w:tcW w:type="dxa" w:w="3230"/>
          </w:tcPr>
          <w:p>
            <w:r>
              <w:rPr>
                <w:rFonts w:ascii="Times New Roman" w:hAnsi="Times New Roman"/>
                <w:sz w:val="20"/>
              </w:rPr>
              <w:t>Hoạt động thể chất</w:t>
            </w:r>
          </w:p>
        </w:tc>
        <w:tc>
          <w:tcPr>
            <w:tcW w:type="dxa" w:w="3230"/>
          </w:tcPr>
          <w:p>
            <w:r>
              <w:rPr>
                <w:rFonts w:ascii="Times New Roman" w:hAnsi="Times New Roman"/>
                <w:sz w:val="20"/>
              </w:rPr>
              <w:t>ALHT — giải tỏa stress</w:t>
            </w:r>
          </w:p>
        </w:tc>
        <w:tc>
          <w:tcPr>
            <w:tcW w:type="dxa" w:w="3230"/>
          </w:tcPr>
          <w:p>
            <w:r>
              <w:rPr>
                <w:rFonts w:ascii="Times New Roman" w:hAnsi="Times New Roman"/>
                <w:sz w:val="20"/>
              </w:rPr>
              <w:t>Li 2025 QT029 (PE SUCRA = 0,51)</w:t>
            </w:r>
          </w:p>
        </w:tc>
      </w:tr>
      <w:tr>
        <w:tc>
          <w:tcPr>
            <w:tcW w:type="dxa" w:w="3230"/>
          </w:tcPr>
          <w:p>
            <w:r>
              <w:rPr>
                <w:rFonts w:ascii="Times New Roman" w:hAnsi="Times New Roman"/>
                <w:sz w:val="20"/>
              </w:rPr>
              <w:t>Tập huấn cha mẹ</w:t>
            </w:r>
          </w:p>
        </w:tc>
        <w:tc>
          <w:tcPr>
            <w:tcW w:type="dxa" w:w="3230"/>
          </w:tcPr>
          <w:p>
            <w:r>
              <w:rPr>
                <w:rFonts w:ascii="Times New Roman" w:hAnsi="Times New Roman"/>
                <w:sz w:val="20"/>
              </w:rPr>
              <w:t>HTCM (β = -0,172) — tăng giao tiếp</w:t>
            </w:r>
          </w:p>
        </w:tc>
        <w:tc>
          <w:tcPr>
            <w:tcW w:type="dxa" w:w="3230"/>
          </w:tcPr>
          <w:p>
            <w:r>
              <w:rPr>
                <w:rFonts w:ascii="Times New Roman" w:hAnsi="Times New Roman"/>
                <w:sz w:val="20"/>
              </w:rPr>
              <w:t>Tô Thị Hồng 2017 VN013</w:t>
            </w:r>
          </w:p>
        </w:tc>
      </w:tr>
      <w:tr>
        <w:tc>
          <w:tcPr>
            <w:tcW w:type="dxa" w:w="3230"/>
          </w:tcPr>
          <w:p>
            <w:r>
              <w:rPr>
                <w:rFonts w:ascii="Times New Roman" w:hAnsi="Times New Roman"/>
                <w:sz w:val="20"/>
              </w:rPr>
              <w:t>Hệ thống peer support</w:t>
            </w:r>
          </w:p>
        </w:tc>
        <w:tc>
          <w:tcPr>
            <w:tcW w:type="dxa" w:w="3230"/>
          </w:tcPr>
          <w:p>
            <w:r>
              <w:rPr>
                <w:rFonts w:ascii="Times New Roman" w:hAnsi="Times New Roman"/>
                <w:sz w:val="20"/>
              </w:rPr>
              <w:t>HTBB (β có ý nghĩa cho RLLAXH)</w:t>
            </w:r>
          </w:p>
        </w:tc>
        <w:tc>
          <w:tcPr>
            <w:tcW w:type="dxa" w:w="3230"/>
          </w:tcPr>
          <w:p>
            <w:r>
              <w:rPr>
                <w:rFonts w:ascii="Times New Roman" w:hAnsi="Times New Roman"/>
                <w:sz w:val="20"/>
              </w:rPr>
              <w:t>Murphy 2024 QT066</w:t>
            </w:r>
          </w:p>
        </w:tc>
      </w:tr>
    </w:tbl>
    <w:p>
      <w:r>
        <w:rPr>
          <w:b/>
          <w:color w:val="1F497D"/>
          <w:sz w:val="28"/>
        </w:rPr>
        <w:t>B.4. Lộ trình triển khai 5 năm</w:t>
      </w:r>
    </w:p>
    <w:p>
      <w:pPr>
        <w:pStyle w:val="ListBullet"/>
      </w:pPr>
      <w:r>
        <w:rPr>
          <w:i w:val="0"/>
          <w:color w:val="000000"/>
          <w:sz w:val="24"/>
        </w:rPr>
        <w:t>Năm 1: pilot tầng 1 + 2 tại 3–5 trường THCS đại diện (1 trung tâm tỉnh + 2 huyện); đào tạo 30 nhân viên tham vấn học đường; chuẩn hóa thang đo DASS-21/RCADS bản tiếng Việt.</w:t>
      </w:r>
    </w:p>
    <w:p>
      <w:pPr>
        <w:pStyle w:val="ListBullet"/>
      </w:pPr>
      <w:r>
        <w:rPr>
          <w:i w:val="0"/>
          <w:color w:val="000000"/>
          <w:sz w:val="24"/>
        </w:rPr>
        <w:t>Năm 2: mở rộng tầng 1 + 2 ra 30 trường; pilot tầng 3 (iCBT) tại 5 trường có internet ổn định; thiết lập referral pathway tới BV tâm thần.</w:t>
      </w:r>
    </w:p>
    <w:p>
      <w:pPr>
        <w:pStyle w:val="ListBullet"/>
      </w:pPr>
      <w:r>
        <w:rPr>
          <w:i w:val="0"/>
          <w:color w:val="000000"/>
          <w:sz w:val="24"/>
        </w:rPr>
        <w:t>Năm 3: đánh giá hiệu quả tầng 1 + 2 + 3 bằng RCT cluster — xuất bản kết quả; điều chỉnh nội dung dựa trên feedback.</w:t>
      </w:r>
    </w:p>
    <w:p>
      <w:pPr>
        <w:pStyle w:val="ListBullet"/>
      </w:pPr>
      <w:r>
        <w:rPr>
          <w:i w:val="0"/>
          <w:color w:val="000000"/>
          <w:sz w:val="24"/>
        </w:rPr>
        <w:t>Năm 4: scale-up toàn quốc (300+ trường); xây dựng phần mềm theo dõi (SỔ tâm lý điện tử HS) — kết nối trường ↔ trung tâm SKTT.</w:t>
      </w:r>
    </w:p>
    <w:p>
      <w:pPr>
        <w:pStyle w:val="ListBullet"/>
      </w:pPr>
      <w:r>
        <w:rPr>
          <w:i w:val="0"/>
          <w:color w:val="000000"/>
          <w:sz w:val="24"/>
        </w:rPr>
        <w:t>Năm 5: đánh giá tổng thể + economic evaluation (chi phí-hiệu quả); chuyển giao mô hình cho Bộ GD-ĐT đưa vào chương trình bắt buộc.</w:t>
      </w:r>
    </w:p>
    <w:p>
      <w:r>
        <w:rPr>
          <w:b/>
          <w:color w:val="1F497D"/>
          <w:sz w:val="28"/>
        </w:rPr>
        <w:t>B.5. Thách thức và giải pháp</w:t>
      </w:r>
    </w:p>
    <w:p>
      <w:pPr>
        <w:pStyle w:val="ListBullet"/>
      </w:pPr>
      <w:r>
        <w:rPr>
          <w:i w:val="0"/>
          <w:color w:val="000000"/>
          <w:sz w:val="24"/>
        </w:rPr>
        <w:t>Thách thức 1 — Thiếu nhân lực tâm lý học đường: VN có &lt; 0,3 chuyên gia tâm thần/100.000 dân (so với 4,3 tại Singapore — GBD ASEAN 2025, QT012). Giải pháp: đào tạo NHÂN VIÊN TƯ VẤN HỌC ĐƯỜNG (school counselor) — mô hình "Wee Center" Hàn Quốc đã giảm 14% trầm cảm HS qua đào tạo giáo viên (Korea, MOE 2018; trích Brunborg 2025).</w:t>
      </w:r>
    </w:p>
    <w:p>
      <w:pPr>
        <w:pStyle w:val="ListBullet"/>
      </w:pPr>
      <w:r>
        <w:rPr>
          <w:i w:val="0"/>
          <w:color w:val="000000"/>
          <w:sz w:val="24"/>
        </w:rPr>
        <w:t>Thách thức 2 — Stigma về SKTT: V-NAMHS ghi nhận 73,9% gia đình VN tự giải quyết, không tìm dịch vụ. Giải pháp: chiến dịch psychoeducation toàn quốc — mô hình HỘI THẢO PHỤ HUYNH 6 tháng/lần kết hợp peer mentoring (Murphy et al., 2024, J Community Psychology, QT066).</w:t>
      </w:r>
    </w:p>
    <w:p>
      <w:pPr>
        <w:pStyle w:val="ListBullet"/>
      </w:pPr>
      <w:r>
        <w:rPr>
          <w:i w:val="0"/>
          <w:color w:val="000000"/>
          <w:sz w:val="24"/>
        </w:rPr>
        <w:t>Thách thức 3 — Chi phí: triển khai 4 tầng cần kinh phí lớn. Giải pháp: ưu tiên tầng 1 + 2 (chi phí thấp, hiệu quả phổ rộng); tầng 3 dùng iCBT (chi phí biên thấp); tầng 4 phối hợp với BHYT/y tế công.</w:t>
      </w:r>
    </w:p>
    <w:p>
      <w:pPr>
        <w:pStyle w:val="ListBullet"/>
      </w:pPr>
      <w:r>
        <w:rPr>
          <w:i w:val="0"/>
          <w:color w:val="000000"/>
          <w:sz w:val="24"/>
        </w:rPr>
        <w:t>Thách thức 4 — Đánh giá khách quan: cần dùng cùng công cụ chuẩn hóa (DASS-21/RCADS bản VN) tại baseline và follow-up; ghi nhận cả outcome chính và phụ; báo cáo theo CONSORT 2010.</w:t>
      </w:r>
    </w:p>
    <w:p>
      <w:r>
        <w:br w:type="page"/>
      </w:r>
    </w:p>
    <w:p>
      <w:r>
        <w:rPr>
          <w:b/>
          <w:color w:val="1F497D"/>
          <w:sz w:val="36"/>
        </w:rPr>
        <w:t>C. Đánh giá tổng thể chương 3</w:t>
      </w:r>
    </w:p>
    <w:p>
      <w:r>
        <w:rPr>
          <w:b/>
          <w:color w:val="1F497D"/>
          <w:sz w:val="28"/>
        </w:rPr>
        <w:t>C.1. Điểm mạnh (5 điểm)</w:t>
      </w:r>
    </w:p>
    <w:p>
      <w:pPr>
        <w:pStyle w:val="ListBullet"/>
      </w:pPr>
      <w:r>
        <w:rPr>
          <w:i w:val="0"/>
          <w:color w:val="000000"/>
          <w:sz w:val="24"/>
        </w:rPr>
        <w:t>Cỡ mẫu lớn (n = 1.352, 4 khối lớp 6–9) — đủ power cho SEM phức tạp.</w:t>
      </w:r>
    </w:p>
    <w:p>
      <w:pPr>
        <w:pStyle w:val="ListBullet"/>
      </w:pPr>
      <w:r>
        <w:rPr>
          <w:i w:val="0"/>
          <w:color w:val="000000"/>
          <w:sz w:val="24"/>
        </w:rPr>
        <w:t>Sử dụng SEM với 11 mô hình con — phương pháp TIÊN TIẾN ngang chuẩn quốc tế. Báo cáo đầy đủ fit indices (CFI, TLI, RMSEA, KTC 90%, χ²/df).</w:t>
      </w:r>
    </w:p>
    <w:p>
      <w:pPr>
        <w:pStyle w:val="ListBullet"/>
      </w:pPr>
      <w:r>
        <w:rPr>
          <w:i w:val="0"/>
          <w:color w:val="000000"/>
          <w:sz w:val="24"/>
        </w:rPr>
        <w:t>Tích hợp đồng thời yếu tố nguy cơ + bảo vệ trong cùng mô hình — R² = 0,598 cho thấy mô hình giải thích mạnh.</w:t>
      </w:r>
    </w:p>
    <w:p>
      <w:pPr>
        <w:pStyle w:val="ListBullet"/>
      </w:pPr>
      <w:r>
        <w:rPr>
          <w:i w:val="0"/>
          <w:color w:val="000000"/>
          <w:sz w:val="24"/>
        </w:rPr>
        <w:t>Phân biệt rõ 3 dạng RLLA (TQ, CL, XH) thay vì gộp chung — cho phép phân tích chi tiết theo developmental psychopathology.</w:t>
      </w:r>
    </w:p>
    <w:p>
      <w:pPr>
        <w:pStyle w:val="ListBullet"/>
      </w:pPr>
      <w:r>
        <w:rPr>
          <w:i w:val="0"/>
          <w:color w:val="000000"/>
          <w:sz w:val="24"/>
        </w:rPr>
        <w:t>Kết hợp định lượng (SEM) + định tính (phỏng vấn HS) — mixed methods design tăng độ tin cậy.</w:t>
      </w:r>
    </w:p>
    <w:p>
      <w:r>
        <w:rPr>
          <w:b/>
          <w:color w:val="1F497D"/>
          <w:sz w:val="28"/>
        </w:rPr>
        <w:t>C.2. Hạn chế (4 điểm cần thầy lưu ý)</w:t>
      </w:r>
    </w:p>
    <w:p>
      <w:pPr>
        <w:pStyle w:val="ListBullet"/>
      </w:pPr>
      <w:r>
        <w:rPr>
          <w:i w:val="0"/>
          <w:color w:val="C00000"/>
          <w:sz w:val="24"/>
        </w:rPr>
        <w:t>🔴 Cột Min/Max của các thang đo trong Bảng 3.17–3.19 ghi 1–4 (Likert gốc) nhưng ĐTB nằm trong khoảng 21–64 — gợi ý thang đã chuẩn hóa thành phần trăm 0–100 nhưng cột Min/Max chưa cập nhật. Khuyến nghị BỔ SUNG ghi chú: "ĐTB và ĐLC được chuẩn hóa sang thang 0–100 theo công thức..." để minh bạch.</w:t>
      </w:r>
    </w:p>
    <w:p>
      <w:pPr>
        <w:pStyle w:val="ListBullet"/>
      </w:pPr>
      <w:r>
        <w:rPr>
          <w:i w:val="0"/>
          <w:color w:val="C00000"/>
          <w:sz w:val="24"/>
        </w:rPr>
        <w:t>🟠 Mô hình tổng hợp (Bảng 3.37) χ²/df = 9,047 vượt ngưỡng tối ưu &lt; 5. Nên thảo luận lý do (cỡ mẫu lớn) trong phần limitations và tham chiếu Hu &amp; Bentler (1999).</w:t>
      </w:r>
    </w:p>
    <w:p>
      <w:pPr>
        <w:pStyle w:val="ListBullet"/>
      </w:pPr>
      <w:r>
        <w:rPr>
          <w:i w:val="0"/>
          <w:color w:val="C00000"/>
          <w:sz w:val="24"/>
        </w:rPr>
        <w:t>🟠 Chưa có SEM theo NHÓM (multi-group SEM) tách riêng nam/nữ — nếu có sẽ làm rõ liệu các đường dẫn (paths) có khác giới hay không. Đây là gợi ý cho hướng nghiên cứu tiếp theo.</w:t>
      </w:r>
    </w:p>
    <w:p>
      <w:pPr>
        <w:pStyle w:val="ListBullet"/>
      </w:pPr>
      <w:r>
        <w:rPr>
          <w:i w:val="0"/>
          <w:color w:val="C00000"/>
          <w:sz w:val="24"/>
        </w:rPr>
        <w:t>🟠 Mô hình biện pháp đối phó (3.44–3.45) chưa fit tốt — như tác giả đã ghi nhận. Cần phân biệt adaptive vs maladaptive coping bằng cách CHIA NHỎ thang theo Brief-COPE 14 nhân tố (Carver, 1997).</w:t>
      </w:r>
    </w:p>
    <w:p>
      <w:r>
        <w:rPr>
          <w:b/>
          <w:color w:val="1F497D"/>
          <w:sz w:val="28"/>
        </w:rPr>
        <w:t>C.3. Đề xuất bổ sung cho luận án</w:t>
      </w:r>
    </w:p>
    <w:p>
      <w:pPr>
        <w:pStyle w:val="ListBullet"/>
      </w:pPr>
      <w:r>
        <w:rPr>
          <w:i w:val="0"/>
          <w:color w:val="000000"/>
          <w:sz w:val="24"/>
        </w:rPr>
        <w:t>Thêm phụ lục mô tả công thức chuẩn hóa thang RCADS (% hoặc T-score) — minh bạch.</w:t>
      </w:r>
    </w:p>
    <w:p>
      <w:pPr>
        <w:pStyle w:val="ListBullet"/>
      </w:pPr>
      <w:r>
        <w:rPr>
          <w:i w:val="0"/>
          <w:color w:val="000000"/>
          <w:sz w:val="24"/>
        </w:rPr>
        <w:t>Bổ sung phân tích nhóm tiềm ẩn (LPA) trên RLLA tổng — theo mô hình Wen 2020 (QT008) — có thể xác định 3–4 nhóm phụ HS với profile lo âu khác nhau, hữu ích cho phân tầng can thiệp.</w:t>
      </w:r>
    </w:p>
    <w:p>
      <w:pPr>
        <w:pStyle w:val="ListBullet"/>
      </w:pPr>
      <w:r>
        <w:rPr>
          <w:i w:val="0"/>
          <w:color w:val="000000"/>
          <w:sz w:val="24"/>
        </w:rPr>
        <w:t>Thêm so sánh quốc tế: tỷ lệ và β tương ứng từ Trần Thảo Vi 2024 (VN021), Nguyễn Cao Minh 2012 (VN016 — chuẩn hóa RCADS VN), Hoa 2024 (VN001) — minh chứng tính nhất quán.</w:t>
      </w:r>
    </w:p>
    <w:p>
      <w:pPr>
        <w:pStyle w:val="ListBullet"/>
      </w:pPr>
      <w:r>
        <w:rPr>
          <w:i w:val="0"/>
          <w:color w:val="000000"/>
          <w:sz w:val="24"/>
        </w:rPr>
        <w:t>Thảo luận giới hạn về CHẨN ĐOÁN: thang RCADS là sàng lọc, không phải chẩn đoán DSM-5 — tỷ lệ thực có thể chênh 5–37 lần (COVID-19 Mental Disorders Collaborators, 2021). V-NAMHS 2022 chẩn đoán DSM-5 chỉ 2,3% so với sàng lọc DASS-21 cho 25,4–41,5%.</w:t>
      </w:r>
    </w:p>
    <w:p>
      <w:pPr>
        <w:pStyle w:val="ListBullet"/>
      </w:pPr>
      <w:r>
        <w:rPr>
          <w:i w:val="0"/>
          <w:color w:val="000000"/>
          <w:sz w:val="24"/>
        </w:rPr>
        <w:t>Bổ sung Khung tập huấn 4 tầng (Phần B trên) vào Chương 4 hoặc Khuyến nghị.</w:t>
      </w:r>
    </w:p>
    <w:p>
      <w:r>
        <w:rPr>
          <w:b/>
          <w:color w:val="1F497D"/>
          <w:sz w:val="36"/>
        </w:rPr>
        <w:t>D. Phụ lục — Tài liệu tham khảo APA 7</w:t>
      </w:r>
    </w:p>
    <w:p>
      <w:r>
        <w:rPr>
          <w:b w:val="0"/>
          <w:i/>
          <w:color w:val="000000"/>
          <w:sz w:val="22"/>
        </w:rPr>
        <w:t>Allen, J. L., Lavallee, K. L., Herren, C., Ruhe, K., &amp; Schneider, S. (2010). DSM-IV criteria for childhood separation anxiety disorder: Informant, age, and sex differences. Journal of Anxiety Disorders, 24(8), 946–952. https://doi.org/10.1016/j.janxdis.2010.06.022</w:t>
      </w:r>
    </w:p>
    <w:p>
      <w:r>
        <w:rPr>
          <w:b w:val="0"/>
          <w:i/>
          <w:color w:val="000000"/>
          <w:sz w:val="22"/>
        </w:rPr>
        <w:t>Beesdo, K., Knappe, S., &amp; Pine, D. S. (2009). Anxiety and anxiety disorders in children and adolescents: Developmental issues and implications for DSM-V. Psychiatric Clinics of North America, 32(3), 483–524. https://doi.org/10.1016/j.psc.2009.06.002</w:t>
      </w:r>
    </w:p>
    <w:p>
      <w:r>
        <w:rPr>
          <w:b w:val="0"/>
          <w:i/>
          <w:color w:val="000000"/>
          <w:sz w:val="22"/>
        </w:rPr>
        <w:t>Bie, F., Yan, X., Xing, J., Wang, L., Xu, Y., Wang, G., Wang, Q., Guo, J., Qiao, J., &amp; Rao, Z. (2024). Rising global burden of anxiety disorders among adolescents and young adults: Trends, risk factors, and the impact of socioeconomic disparities and COVID-19 from 1990 to 2021. Frontiers in Psychiatry, 15, 1489427. https://doi.org/10.3389/fpsyt.2024.1489427 [QT060 trong DB.]</w:t>
      </w:r>
    </w:p>
    <w:p>
      <w:r>
        <w:rPr>
          <w:b w:val="0"/>
          <w:i/>
          <w:color w:val="000000"/>
          <w:sz w:val="22"/>
        </w:rPr>
        <w:t>Brown, A., &amp; Carter, R. (2025). School-based mental health interventions in UK secondary schools: A mixed-methods study. Journal of Mental Health, 34(2), 201–215. [QT042 trong DB.]</w:t>
      </w:r>
    </w:p>
    <w:p>
      <w:r>
        <w:rPr>
          <w:b w:val="0"/>
          <w:i/>
          <w:color w:val="000000"/>
          <w:sz w:val="22"/>
        </w:rPr>
        <w:t>Browne, M. W., &amp; Cudeck, R. (1993). Alternative ways of assessing model fit. In K. A. Bollen &amp; J. S. Long (Eds.), Testing structural equation models (pp. 136–162). SAGE.</w:t>
      </w:r>
    </w:p>
    <w:p>
      <w:r>
        <w:rPr>
          <w:b w:val="0"/>
          <w:i/>
          <w:color w:val="000000"/>
          <w:sz w:val="22"/>
        </w:rPr>
        <w:t>Brunborg, G. S., Nilsen, S. A., Skogen, J. C., &amp; Bang, L. (2025). Possible explanations for the upward trend in mental distress among adolescents in Norway from 2011 to 2024. Social Science &amp; Medicine, 384, 118528. https://doi.org/10.1016/j.socscimed.2025.118528 [QT021 trong DB.]</w:t>
      </w:r>
    </w:p>
    <w:p>
      <w:r>
        <w:rPr>
          <w:b w:val="0"/>
          <w:i/>
          <w:color w:val="000000"/>
          <w:sz w:val="22"/>
        </w:rPr>
        <w:t>Cai, S., et al. (2025). Resilience as a protective factor against anxiety in adolescents. Frontiers in Psychiatry. [QT044 trong DB.]</w:t>
      </w:r>
    </w:p>
    <w:p>
      <w:r>
        <w:rPr>
          <w:b w:val="0"/>
          <w:i/>
          <w:color w:val="000000"/>
          <w:sz w:val="22"/>
        </w:rPr>
        <w:t>Carver, C. S. (1997). You want to measure coping but your protocol's too long: Consider the Brief COPE. International Journal of Behavioral Medicine, 4(1), 92–100. https://doi.org/10.1207/s15327558ijbm0401_6</w:t>
      </w:r>
    </w:p>
    <w:p>
      <w:r>
        <w:rPr>
          <w:b w:val="0"/>
          <w:i/>
          <w:color w:val="000000"/>
          <w:sz w:val="22"/>
        </w:rPr>
        <w:t>Cohen, J. (1988). Statistical power analysis for the behavioral sciences (2nd ed.). Lawrence Erlbaum Associates.</w:t>
      </w:r>
    </w:p>
    <w:p>
      <w:r>
        <w:rPr>
          <w:b w:val="0"/>
          <w:i/>
          <w:color w:val="000000"/>
          <w:sz w:val="22"/>
        </w:rPr>
        <w:t>Compas, B. E., Jaser, S. S., Bettis, A. H., Watson, K. H., Gruhn, M. A., Dunbar, J. P., Williams, E., &amp; Thigpen, J. C. (2017). Coping, emotion regulation, and psychopathology in childhood and adolescence: A meta-analysis and narrative review. Psychological Bulletin, 143(9), 939–991. https://doi.org/10.1037/bul0000110</w:t>
      </w:r>
    </w:p>
    <w:p>
      <w:r>
        <w:rPr>
          <w:b w:val="0"/>
          <w:i/>
          <w:color w:val="000000"/>
          <w:sz w:val="22"/>
        </w:rPr>
        <w:t>COVID-19 Mental Disorders Collaborators. (2021). Global prevalence and burden of depressive and anxiety disorders in 204 countries and territories in 2020 due to the COVID-19 pandemic. The Lancet, 398(10312), 1700–1712. https://doi.org/10.1016/S0140-6736(21)02143-7</w:t>
      </w:r>
    </w:p>
    <w:p>
      <w:r>
        <w:rPr>
          <w:b w:val="0"/>
          <w:i/>
          <w:color w:val="000000"/>
          <w:sz w:val="22"/>
        </w:rPr>
        <w:t>Galante, J., et al. (2023). Mindfulness-based programmes for mental health promotion in adults in non-clinical settings: An IPD meta-analysis. Nature Mental Health, 1(7), 462–476. [QT052 trong DB.]</w:t>
      </w:r>
    </w:p>
    <w:p>
      <w:r>
        <w:rPr>
          <w:b w:val="0"/>
          <w:i/>
          <w:color w:val="000000"/>
          <w:sz w:val="22"/>
        </w:rPr>
        <w:t>GBD ASEAN Mental Disorders Collaborators. (2025). Epidemiology and burden of ten mental disorders in the Association of Southeast Asian Nations from 1990 to 2021. The Lancet Regional Health – Southeast Asia. [QT012 trong DB.]</w:t>
      </w:r>
    </w:p>
    <w:p>
      <w:r>
        <w:rPr>
          <w:b w:val="0"/>
          <w:i/>
          <w:color w:val="000000"/>
          <w:sz w:val="22"/>
        </w:rPr>
        <w:t>Hoa, L. T. T. (2024). Anxiety in upper secondary school students in Hanoi, Vietnam: A cross-sectional study. Frontiers in Public Health. [VN001 trong DB.]</w:t>
      </w:r>
    </w:p>
    <w:p>
      <w:r>
        <w:rPr>
          <w:b w:val="0"/>
          <w:i/>
          <w:color w:val="000000"/>
          <w:sz w:val="22"/>
        </w:rPr>
        <w:t>Hu, L., &amp; Bentler, P. M. (1999). Cutoff criteria for fit indexes in covariance structure analysis: Conventional criteria versus new alternatives. Structural Equation Modeling, 6(1), 1–55. https://doi.org/10.1080/10705519909540118</w:t>
      </w:r>
    </w:p>
    <w:p>
      <w:r>
        <w:rPr>
          <w:b w:val="0"/>
          <w:i/>
          <w:color w:val="000000"/>
          <w:sz w:val="22"/>
        </w:rPr>
        <w:t>Jefferies, P., et al. (2020). Social anxiety in young people: A prevalence study in seven countries. PLOS ONE, 15(9), e0239133. [QT035 trong DB.]</w:t>
      </w:r>
    </w:p>
    <w:p>
      <w:r>
        <w:rPr>
          <w:b w:val="0"/>
          <w:i/>
          <w:color w:val="000000"/>
          <w:sz w:val="22"/>
        </w:rPr>
        <w:t>Li, S. H., et al. (2025). [Network meta-analysis of CBT and physical education for adolescent anxiety]. BMC Psychiatry. [QT029 trong DB.]</w:t>
      </w:r>
    </w:p>
    <w:p>
      <w:r>
        <w:rPr>
          <w:b w:val="0"/>
          <w:i/>
          <w:color w:val="000000"/>
          <w:sz w:val="22"/>
        </w:rPr>
        <w:t>Matsumoto, K., et al. (2024). Internet-based cognitive behavioral therapy for Japanese adolescents with anxiety and depression. JMIR Mental Health. [QT045 trong DB.]</w:t>
      </w:r>
    </w:p>
    <w:p>
      <w:r>
        <w:rPr>
          <w:b w:val="0"/>
          <w:i/>
          <w:color w:val="000000"/>
          <w:sz w:val="22"/>
        </w:rPr>
        <w:t>McLean, C. P., Asnaani, A., Litz, B. T., &amp; Hofmann, S. G. (2011). Gender differences in anxiety disorders: Prevalence, course of illness, comorbidity and burden of illness. Journal of Psychiatric Research, 45(8), 1027–1035. https://doi.org/10.1016/j.jpsychires.2011.03.006</w:t>
      </w:r>
    </w:p>
    <w:p>
      <w:r>
        <w:rPr>
          <w:b w:val="0"/>
          <w:i/>
          <w:color w:val="000000"/>
          <w:sz w:val="22"/>
        </w:rPr>
        <w:t>Murphy, R., et al. (2024). Peer support in primary youth mental health care: A scoping review. Journal of Community Psychology, 52(1), 154–180. https://doi.org/10.1002/jcop.23090 [QT066 trong DB.]</w:t>
      </w:r>
    </w:p>
    <w:p>
      <w:r>
        <w:rPr>
          <w:b w:val="0"/>
          <w:i/>
          <w:color w:val="000000"/>
          <w:sz w:val="22"/>
        </w:rPr>
        <w:t>Nguyễn Cao Minh. (2012). Chuẩn hóa thang RCADS cho học sinh Việt Nam. [VN016 trong DB.]</w:t>
      </w:r>
    </w:p>
    <w:p>
      <w:r>
        <w:rPr>
          <w:b w:val="0"/>
          <w:i/>
          <w:color w:val="000000"/>
          <w:sz w:val="22"/>
        </w:rPr>
        <w:t>Pascoe, M. C., Hetrick, S. E., &amp; Parker, A. G. (2020). The impact of stress on students in secondary school and higher education. International Journal of Adolescence and Youth, 25(1), 104–112. https://doi.org/10.1080/02673843.2019.1596823 [QT067 trong DB.]</w:t>
      </w:r>
    </w:p>
    <w:p>
      <w:r>
        <w:rPr>
          <w:b w:val="0"/>
          <w:i/>
          <w:color w:val="000000"/>
          <w:sz w:val="22"/>
        </w:rPr>
        <w:t>Rapee, R. M., &amp; Spence, S. H. (2004). The etiology of social phobia: Empirical evidence and an initial model. Clinical Psychology Review, 24(7), 737–767. https://doi.org/10.1016/j.cpr.2004.06.004</w:t>
      </w:r>
    </w:p>
    <w:p>
      <w:r>
        <w:rPr>
          <w:b w:val="0"/>
          <w:i/>
          <w:color w:val="000000"/>
          <w:sz w:val="22"/>
        </w:rPr>
        <w:t>Salk, R. H., Hyde, J. S., &amp; Abramson, L. Y. (2017). Gender differences in depression in representative national samples. Psychological Bulletin, 143(8), 783–822. https://doi.org/10.1037/bul0000102</w:t>
      </w:r>
    </w:p>
    <w:p>
      <w:r>
        <w:rPr>
          <w:b w:val="0"/>
          <w:i/>
          <w:color w:val="000000"/>
          <w:sz w:val="22"/>
        </w:rPr>
        <w:t>Schmidt-Persson, J., et al. (2024). Screen media use and mental health of children and adolescents: A secondary analysis of the SCREENS-Kids randomized clinical trial. JAMA Network Open, 7(1), e2354033. [QT033 trong DB.]</w:t>
      </w:r>
    </w:p>
    <w:p>
      <w:r>
        <w:rPr>
          <w:b w:val="0"/>
          <w:i/>
          <w:color w:val="000000"/>
          <w:sz w:val="22"/>
        </w:rPr>
        <w:t>Tamres, L. K., Janicki, D., &amp; Helgeson, V. S. (2002). Sex differences in coping behavior: A meta-analytic review and an examination of relative coping. Personality and Social Psychology Review, 6(1), 2–30. https://doi.org/10.1207/S15327957PSPR0601_1</w:t>
      </w:r>
    </w:p>
    <w:p>
      <w:r>
        <w:rPr>
          <w:b w:val="0"/>
          <w:i/>
          <w:color w:val="000000"/>
          <w:sz w:val="22"/>
        </w:rPr>
        <w:t>Tô Thị Hồng. (2017). Thực trạng rối loạn lo âu của học sinh trung học cơ sở Hà Nội. [VN013 trong DB.]</w:t>
      </w:r>
    </w:p>
    <w:p>
      <w:r>
        <w:rPr>
          <w:b w:val="0"/>
          <w:i/>
          <w:color w:val="000000"/>
          <w:sz w:val="22"/>
        </w:rPr>
        <w:t>Trần Nguyễn Ngọc. (2018). Đánh giá hiệu quả điều trị rối loạn lo âu tổng quát bằng liệu pháp thư giãn–luyện tập [Luận án tiến sĩ y học]. Đại học Y Hà Nội. [VN005 trong DB.]</w:t>
      </w:r>
    </w:p>
    <w:p>
      <w:r>
        <w:rPr>
          <w:b w:val="0"/>
          <w:i/>
          <w:color w:val="000000"/>
          <w:sz w:val="22"/>
        </w:rPr>
        <w:t>Trần Thảo Vi, et al. (2024). Academic stress among students in Vietnam: A three-year longitudinal study on the impact of family, lifestyle, and academic factors. Journal of Rural Medicine. [VN021 trong DB.]</w:t>
      </w:r>
    </w:p>
    <w:p>
      <w:r>
        <w:rPr>
          <w:b w:val="0"/>
          <w:i/>
          <w:color w:val="000000"/>
          <w:sz w:val="22"/>
        </w:rPr>
        <w:t>UNICEF Việt Nam, Bộ Lao động – Thương binh và Xã hội, &amp; Tổng cục Thống kê. (2022). Khảo sát Sức khỏe Tâm thần Vị thành niên Việt Nam (V-NAMHS 2022). Hà Nội. [VN002 trong DB.]</w:t>
      </w:r>
    </w:p>
    <w:p>
      <w:r>
        <w:rPr>
          <w:b w:val="0"/>
          <w:i/>
          <w:color w:val="000000"/>
          <w:sz w:val="22"/>
        </w:rPr>
        <w:t>Wen, X., Lin, Y., Liu, Y., Starcevich, K., Yuan, F., Wang, X., Xie, X., &amp; Yuan, Z. (2020). A latent profile analysis of anxiety among junior high school students in less developed rural areas of China. International Journal of Environmental Research and Public Health, 17(11), 4079. https://doi.org/10.3390/ijerph17114079 [QT008 trong DB.]</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