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w:t>
      </w:r>
    </w:p>
    <w:p>
      <w:pPr>
        <w:pStyle w:val="Heading1"/>
      </w:pPr>
      <w:r>
        <w:rPr>
          <w:rFonts w:ascii="Times New Roman" w:hAnsi="Times New Roman"/>
          <w:color w:val="000000"/>
        </w:rPr>
        <w:t>BIỆN PHÁP HỖ TRỢ TÂM LÝ VÀ CAN THIỆP TÂM LÝ</w:t>
        <w:br/>
        <w:t>CHO TRẺ VỊ THÀNH NIÊN BỊ RỐI LOẠN LO ÂU</w:t>
      </w:r>
    </w:p>
    <w:p>
      <w:pPr>
        <w:jc w:val="center"/>
      </w:pPr>
      <w:r>
        <w:rPr>
          <w:rFonts w:ascii="Times New Roman" w:hAnsi="Times New Roman"/>
          <w:b w:val="0"/>
          <w:i/>
          <w:sz w:val="24"/>
        </w:rPr>
        <w:t>Tổng hợp 15 công trình nghiên cứu — Phân theo 3 vùng địa lý:</w:t>
        <w:br/>
        <w:t>(1) Việt Nam | (2) Châu Á (ngoài Việt Nam) | (3) Châu Âu — Châu Úc — Châu Mỹ</w:t>
      </w:r>
    </w:p>
    <w:p>
      <w:pPr>
        <w:jc w:val="center"/>
      </w:pPr>
      <w:r>
        <w:rPr>
          <w:rFonts w:ascii="Times New Roman" w:hAnsi="Times New Roman"/>
          <w:b w:val="0"/>
          <w:i/>
          <w:sz w:val="22"/>
        </w:rPr>
        <w:t>Cập nhật: 10/04/2026 | Phong cách: Công Thị Hằng v5</w:t>
        <w:br/>
        <w:t>Dữ liệu trích từ hệ thống 58 bài nghiên cứu của dự án Lo âu</w:t>
      </w:r>
    </w:p>
    <w:p>
      <w:pPr>
        <w:pStyle w:val="Heading2"/>
      </w:pPr>
      <w:r>
        <w:rPr>
          <w:rFonts w:ascii="Times New Roman" w:hAnsi="Times New Roman"/>
          <w:color w:val="000000"/>
        </w:rPr>
        <w:t>TÓM LƯỢC ĐIỀU HÀNH</w:t>
      </w:r>
    </w:p>
    <w:p>
      <w:pPr>
        <w:jc w:val="both"/>
      </w:pPr>
      <w:r>
        <w:rPr>
          <w:rFonts w:ascii="Times New Roman" w:hAnsi="Times New Roman"/>
          <w:b w:val="0"/>
          <w:i w:val="0"/>
          <w:sz w:val="24"/>
        </w:rPr>
        <w:t>Báo cáo này tổng hợp 15 công trình nghiên cứu về biện pháp hỗ trợ và can thiệp tâm lý cho rối loạn lo âu (RLLA) ở trẻ vị thành niên (VTN), được phân theo ba vùng địa lý nhằm làm rõ bằng chứng khu vực, mức độ phù hợp văn hoá và khả năng áp dụng cho Việt Nam. Phương pháp tổng hợp kết hợp đối chiếu liên bài, phân tích phản biện và xếp hạng bằng chứng theo chất lượng thiết kế nghiên cứu.</w:t>
      </w:r>
    </w:p>
    <w:p>
      <w:r>
        <w:rPr>
          <w:rFonts w:ascii="Times New Roman" w:hAnsi="Times New Roman"/>
          <w:b/>
          <w:i w:val="0"/>
          <w:sz w:val="24"/>
        </w:rPr>
        <w:t>Sáu phát hiện then chốt:</w:t>
      </w:r>
    </w:p>
    <w:p>
      <w:pPr>
        <w:jc w:val="both"/>
      </w:pPr>
      <w:r>
        <w:rPr>
          <w:rFonts w:ascii="Times New Roman" w:hAnsi="Times New Roman"/>
          <w:b w:val="0"/>
          <w:i w:val="0"/>
          <w:sz w:val="24"/>
        </w:rPr>
        <w:t>Thứ nhất, Liệu pháp Nhận thức – Hành vi (CBT) là phương pháp được chứng minh hiệu quả nhất và nhất quán xuyên suốt cả ba vùng địa lý. Bằng chứng vàng từ thử nghiệm CAMS (Walkup et al. 2008, NEJM 359:2753–66) cho thấy CBT kết hợp Sertraline đạt 80,7 % đáp ứng so với 59,7 % cho CBT đơn thuần và 23,7 % cho giả dược (n = 488 trẻ 7–17 tuổi).</w:t>
      </w:r>
    </w:p>
    <w:p>
      <w:pPr>
        <w:jc w:val="both"/>
      </w:pPr>
      <w:r>
        <w:rPr>
          <w:rFonts w:ascii="Times New Roman" w:hAnsi="Times New Roman"/>
          <w:b w:val="0"/>
          <w:i w:val="0"/>
          <w:sz w:val="24"/>
        </w:rPr>
        <w:t>Thứ hai, CBT qua Internet (iCBT) cho rối loạn lo âu xã hội (SAD) đứng hạng 1 trong phân tích tổng hợp mạng 30 RCT (Xian, Zhang &amp; Jiang 2024, J Affect Disord 365:614–627; SUCRA 71,2 %), và kích thước hiệu ứng đặc biệt LỚN khi can thiệp được thiết kế riêng cho SAD (Walder et al. 2025, JMIR; Hedges g = 0,878).</w:t>
      </w:r>
    </w:p>
    <w:p>
      <w:pPr>
        <w:jc w:val="both"/>
      </w:pPr>
      <w:r>
        <w:rPr>
          <w:rFonts w:ascii="Times New Roman" w:hAnsi="Times New Roman"/>
          <w:b w:val="0"/>
          <w:i w:val="0"/>
          <w:sz w:val="24"/>
        </w:rPr>
        <w:t>Thứ ba, ứng dụng di động CBT (Mobile CBT) cho hiệu quả MẠNH với trầm cảm (87,5 % nghiên cứu dương tính) nhưng YẾU với lo âu khi không thiết kế riêng (Qiaochu &amp; Wang 2025, Clin Psychol Psychother 32:e70173). Tuy nhiên RCT ứng dụng Maya của Bress et al. 2024 cho thấy hiệu lực rất lớn (Cohen d = 1,04 sau 12 tuần, JAMA Network Open 7(8):e2428372).</w:t>
      </w:r>
    </w:p>
    <w:p>
      <w:pPr>
        <w:jc w:val="both"/>
      </w:pPr>
      <w:r>
        <w:rPr>
          <w:rFonts w:ascii="Times New Roman" w:hAnsi="Times New Roman"/>
          <w:b w:val="0"/>
          <w:i w:val="0"/>
          <w:sz w:val="24"/>
        </w:rPr>
        <w:t>Thứ tư, can thiệp PHỔ QUÁT tại trường (universal CBT) chỉ cho hiệu quả nhỏ và chất lượng bằng chứng nền thấp (Zhang, Liang &amp; Kang 2026, J Clin Psychol 82:248–259, Bayesian MA 31 RCT, n = 19.865). Mô hình CHỈ ĐỊNH (targeted) cho học sinh có triệu chứng — như BESST UK (Brown &amp; Carter 2025, J Mental Health 34(4):357–361) — hứa hẹn hơn và phù hợp với cảnh báo của Brown &amp; Carter về thất bại Mindfulness phổ quát ở 8.376 học sinh UK.</w:t>
      </w:r>
    </w:p>
    <w:p>
      <w:pPr>
        <w:jc w:val="both"/>
      </w:pPr>
      <w:r>
        <w:rPr>
          <w:rFonts w:ascii="Times New Roman" w:hAnsi="Times New Roman"/>
          <w:b w:val="0"/>
          <w:i w:val="0"/>
          <w:sz w:val="24"/>
        </w:rPr>
        <w:t>Thứ năm, KHOẢNG TRỐNG NGHIÊN CỨU TẠI VIỆT NAM CỰC LỚN: trong hệ thống 58 bài nghiên cứu không có một thử nghiệm lâm sàng ngẫu nhiên (RCT) nào về can thiệp tâm lý cho VTN có RLLA tại Việt Nam. Công trình duy nhất từ tác giả Việt Nam là luận án Tiến sĩ Y học của Trần Nguyễn Ngọc (2018, Đại học Y Hà Nội — Viện Sức khoẻ Tâm thần Bạch Mai), nhưng đối tượng là người lớn nội trú, không phải VTN.</w:t>
      </w:r>
    </w:p>
    <w:p>
      <w:pPr>
        <w:jc w:val="both"/>
      </w:pPr>
      <w:r>
        <w:rPr>
          <w:rFonts w:ascii="Times New Roman" w:hAnsi="Times New Roman"/>
          <w:b w:val="0"/>
          <w:i w:val="0"/>
          <w:sz w:val="24"/>
        </w:rPr>
        <w:t>Thứ sáu, khu vực Đông Á và Thái Bình Dương ở các nước có thu nhập trung bình – thấp (LMIC) còn thiếu nghiêm trọng các can thiệp ở cấp CỘNG ĐỒNG, GIA ĐÌNH và dịch vụ ĐÁP ỨNG dài hạn (Menon et al. 2025, Asia Pac J Public Health 37(4):332–346, scoping review 69 nghiên cứu, 12 quốc gia). Phát hiện này định hướng mạnh cho thiết kế đề cương Việt Nam.</w:t>
      </w:r>
    </w:p>
    <w:p>
      <w:pPr>
        <w:jc w:val="center"/>
      </w:pPr>
      <w:r>
        <w:drawing>
          <wp:inline xmlns:a="http://schemas.openxmlformats.org/drawingml/2006/main" xmlns:pic="http://schemas.openxmlformats.org/drawingml/2006/picture">
            <wp:extent cx="5580000" cy="2614646"/>
            <wp:docPr id="1" name="Picture 1"/>
            <wp:cNvGraphicFramePr>
              <a:graphicFrameLocks noChangeAspect="1"/>
            </wp:cNvGraphicFramePr>
            <a:graphic>
              <a:graphicData uri="http://schemas.openxmlformats.org/drawingml/2006/picture">
                <pic:pic>
                  <pic:nvPicPr>
                    <pic:cNvPr id="0" name="chart8_3regions.png"/>
                    <pic:cNvPicPr/>
                  </pic:nvPicPr>
                  <pic:blipFill>
                    <a:blip r:embed="rId9"/>
                    <a:stretch>
                      <a:fillRect/>
                    </a:stretch>
                  </pic:blipFill>
                  <pic:spPr>
                    <a:xfrm>
                      <a:off x="0" y="0"/>
                      <a:ext cx="5580000" cy="2614646"/>
                    </a:xfrm>
                    <a:prstGeom prst="rect"/>
                  </pic:spPr>
                </pic:pic>
              </a:graphicData>
            </a:graphic>
          </wp:inline>
        </w:drawing>
      </w:r>
    </w:p>
    <w:p>
      <w:pPr>
        <w:jc w:val="center"/>
      </w:pPr>
      <w:r>
        <w:rPr>
          <w:rFonts w:ascii="Times New Roman" w:hAnsi="Times New Roman"/>
          <w:i/>
          <w:sz w:val="20"/>
        </w:rPr>
        <w:t>Biểu đồ 8. Phân bố nghiên cứu can thiệp tâm lý cho RLLA theo vùng địa lý (tổng hợp 15 bài trong hệ thống 58 bài, dự án Lo âu, 04/2026).</w:t>
      </w:r>
    </w:p>
    <w:p>
      <w:r>
        <w:br w:type="page"/>
      </w:r>
    </w:p>
    <w:p>
      <w:pPr>
        <w:pStyle w:val="Heading1"/>
      </w:pPr>
      <w:r>
        <w:rPr>
          <w:rFonts w:ascii="Times New Roman" w:hAnsi="Times New Roman"/>
          <w:color w:val="000000"/>
        </w:rPr>
        <w:t>PHẦN I — VIỆT NAM</w:t>
      </w:r>
    </w:p>
    <w:p>
      <w:pPr>
        <w:jc w:val="both"/>
      </w:pPr>
      <w:r>
        <w:rPr>
          <w:rFonts w:ascii="Times New Roman" w:hAnsi="Times New Roman"/>
          <w:b w:val="0"/>
          <w:i/>
          <w:sz w:val="24"/>
        </w:rPr>
        <w:t>Trong hệ thống 58 bài nghiên cứu của dự án, chỉ có 1 công trình duy nhất từ tác giả Việt Nam thuộc nhóm chủ đề CAN THIỆP tâm lý cho rối loạn lo âu — luận án Tiến sĩ Y học của Trần Nguyễn Ngọc (2018). Tuy nhiên, đối tượng nghiên cứu là bệnh nhân NGƯỜI LỚN nội trú tại Viện Sức khoẻ Tâm thần Bạch Mai, không phải vị thành niên. Đây là khoảng trống nghiên cứu cực lớn và là chỗ trống mà đề cương của chúng ta hướng đến lấp đầy.</w:t>
      </w:r>
    </w:p>
    <w:p>
      <w:pPr>
        <w:pStyle w:val="Heading2"/>
      </w:pPr>
      <w:r>
        <w:rPr>
          <w:rFonts w:ascii="Times New Roman" w:hAnsi="Times New Roman"/>
          <w:color w:val="000000"/>
        </w:rPr>
        <w:t>1.1. Trần Nguyễn Ngọc (2018) — Liệu pháp Thư giãn – Luyện tập cho RLLA tổng quát</w:t>
      </w:r>
    </w:p>
    <w:p>
      <w:pPr>
        <w:pStyle w:val="Heading3"/>
      </w:pPr>
      <w:r>
        <w:rPr>
          <w:rFonts w:ascii="Times New Roman" w:hAnsi="Times New Roman"/>
          <w:color w:val="000000"/>
        </w:rPr>
        <w:t>1.1.1. Thông tin thư mục</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D9E2F3" w:val="clear"/>
          </w:tcPr>
          <w:p>
            <w:pPr>
              <w:jc w:val="center"/>
            </w:pPr>
            <w:r>
              <w:rPr>
                <w:rFonts w:ascii="Times New Roman" w:hAnsi="Times New Roman"/>
                <w:b/>
                <w:sz w:val="20"/>
              </w:rPr>
              <w:t>Mục</w:t>
            </w:r>
          </w:p>
        </w:tc>
        <w:tc>
          <w:tcPr>
            <w:tcW w:w="6520" w:type="dxa"/>
            <w:shd w:fill="D9E2F3" w:val="clear"/>
          </w:tcPr>
          <w:p>
            <w:pPr>
              <w:jc w:val="center"/>
            </w:pPr>
            <w:r>
              <w:rPr>
                <w:rFonts w:ascii="Times New Roman" w:hAnsi="Times New Roman"/>
                <w:b/>
                <w:sz w:val="20"/>
              </w:rPr>
              <w:t>Chi tiết</w:t>
            </w:r>
          </w:p>
        </w:tc>
      </w:tr>
      <w:tr>
        <w:tc>
          <w:tcPr>
            <w:tcW w:w="2268" w:type="dxa"/>
          </w:tcPr>
          <w:p>
            <w:r>
              <w:rPr>
                <w:rFonts w:ascii="Times New Roman" w:hAnsi="Times New Roman"/>
                <w:sz w:val="20"/>
              </w:rPr>
              <w:t>Tác giả</w:t>
            </w:r>
          </w:p>
        </w:tc>
        <w:tc>
          <w:tcPr>
            <w:tcW w:w="6520" w:type="dxa"/>
          </w:tcPr>
          <w:p>
            <w:r>
              <w:rPr>
                <w:rFonts w:ascii="Times New Roman" w:hAnsi="Times New Roman"/>
                <w:sz w:val="20"/>
              </w:rPr>
              <w:t>Trần Nguyễn Ngọc</w:t>
            </w:r>
          </w:p>
        </w:tc>
      </w:tr>
      <w:tr>
        <w:tc>
          <w:tcPr>
            <w:tcW w:w="2268" w:type="dxa"/>
          </w:tcPr>
          <w:p>
            <w:r>
              <w:rPr>
                <w:rFonts w:ascii="Times New Roman" w:hAnsi="Times New Roman"/>
                <w:sz w:val="20"/>
              </w:rPr>
              <w:t>Hướng dẫn khoa học</w:t>
            </w:r>
          </w:p>
        </w:tc>
        <w:tc>
          <w:tcPr>
            <w:tcW w:w="6520" w:type="dxa"/>
          </w:tcPr>
          <w:p>
            <w:r>
              <w:rPr>
                <w:rFonts w:ascii="Times New Roman" w:hAnsi="Times New Roman"/>
                <w:sz w:val="20"/>
              </w:rPr>
              <w:t>PGS. TS. Nguyễn Kim Việt</w:t>
            </w:r>
          </w:p>
        </w:tc>
      </w:tr>
      <w:tr>
        <w:tc>
          <w:tcPr>
            <w:tcW w:w="2268" w:type="dxa"/>
          </w:tcPr>
          <w:p>
            <w:r>
              <w:rPr>
                <w:rFonts w:ascii="Times New Roman" w:hAnsi="Times New Roman"/>
                <w:sz w:val="20"/>
              </w:rPr>
              <w:t>Loại tài liệu</w:t>
            </w:r>
          </w:p>
        </w:tc>
        <w:tc>
          <w:tcPr>
            <w:tcW w:w="6520" w:type="dxa"/>
          </w:tcPr>
          <w:p>
            <w:r>
              <w:rPr>
                <w:rFonts w:ascii="Times New Roman" w:hAnsi="Times New Roman"/>
                <w:sz w:val="20"/>
              </w:rPr>
              <w:t>Luận án Tiến sĩ Y học, chuyên ngành Tâm thần (mã số 62720148)</w:t>
            </w:r>
          </w:p>
        </w:tc>
      </w:tr>
      <w:tr>
        <w:tc>
          <w:tcPr>
            <w:tcW w:w="2268" w:type="dxa"/>
          </w:tcPr>
          <w:p>
            <w:r>
              <w:rPr>
                <w:rFonts w:ascii="Times New Roman" w:hAnsi="Times New Roman"/>
                <w:sz w:val="20"/>
              </w:rPr>
              <w:t>Đơn vị</w:t>
            </w:r>
          </w:p>
        </w:tc>
        <w:tc>
          <w:tcPr>
            <w:tcW w:w="6520" w:type="dxa"/>
          </w:tcPr>
          <w:p>
            <w:r>
              <w:rPr>
                <w:rFonts w:ascii="Times New Roman" w:hAnsi="Times New Roman"/>
                <w:sz w:val="20"/>
              </w:rPr>
              <w:t>Trường Đại học Y Hà Nội — Viện Sức khoẻ Tâm thần, BV Bạch Mai</w:t>
            </w:r>
          </w:p>
        </w:tc>
      </w:tr>
      <w:tr>
        <w:tc>
          <w:tcPr>
            <w:tcW w:w="2268" w:type="dxa"/>
          </w:tcPr>
          <w:p>
            <w:r>
              <w:rPr>
                <w:rFonts w:ascii="Times New Roman" w:hAnsi="Times New Roman"/>
                <w:sz w:val="20"/>
              </w:rPr>
              <w:t>Năm bảo vệ</w:t>
            </w:r>
          </w:p>
        </w:tc>
        <w:tc>
          <w:tcPr>
            <w:tcW w:w="6520" w:type="dxa"/>
          </w:tcPr>
          <w:p>
            <w:r>
              <w:rPr>
                <w:rFonts w:ascii="Times New Roman" w:hAnsi="Times New Roman"/>
                <w:sz w:val="20"/>
              </w:rPr>
              <w:t>2018</w:t>
            </w:r>
          </w:p>
        </w:tc>
      </w:tr>
      <w:tr>
        <w:tc>
          <w:tcPr>
            <w:tcW w:w="2268" w:type="dxa"/>
          </w:tcPr>
          <w:p>
            <w:r>
              <w:rPr>
                <w:rFonts w:ascii="Times New Roman" w:hAnsi="Times New Roman"/>
                <w:sz w:val="20"/>
              </w:rPr>
              <w:t>Số trang</w:t>
            </w:r>
          </w:p>
        </w:tc>
        <w:tc>
          <w:tcPr>
            <w:tcW w:w="6520" w:type="dxa"/>
          </w:tcPr>
          <w:p>
            <w:r>
              <w:rPr>
                <w:rFonts w:ascii="Times New Roman" w:hAnsi="Times New Roman"/>
                <w:sz w:val="20"/>
              </w:rPr>
              <w:t>177 trang</w:t>
            </w:r>
          </w:p>
        </w:tc>
      </w:tr>
      <w:tr>
        <w:tc>
          <w:tcPr>
            <w:tcW w:w="2268" w:type="dxa"/>
          </w:tcPr>
          <w:p>
            <w:r>
              <w:rPr>
                <w:rFonts w:ascii="Times New Roman" w:hAnsi="Times New Roman"/>
                <w:sz w:val="20"/>
              </w:rPr>
              <w:t>Đối tượng</w:t>
            </w:r>
          </w:p>
        </w:tc>
        <w:tc>
          <w:tcPr>
            <w:tcW w:w="6520" w:type="dxa"/>
          </w:tcPr>
          <w:p>
            <w:r>
              <w:rPr>
                <w:rFonts w:ascii="Times New Roman" w:hAnsi="Times New Roman"/>
                <w:sz w:val="20"/>
              </w:rPr>
              <w:t>170 bệnh nhân RLLA tổng quát (mã F41.1, ICD-10), nội trú Viện SKTT BV Bạch Mai</w:t>
            </w:r>
          </w:p>
        </w:tc>
      </w:tr>
      <w:tr>
        <w:tc>
          <w:tcPr>
            <w:tcW w:w="2268" w:type="dxa"/>
          </w:tcPr>
          <w:p>
            <w:r>
              <w:rPr>
                <w:rFonts w:ascii="Times New Roman" w:hAnsi="Times New Roman"/>
                <w:sz w:val="20"/>
              </w:rPr>
              <w:t>Đặc điểm mẫu</w:t>
            </w:r>
          </w:p>
        </w:tc>
        <w:tc>
          <w:tcPr>
            <w:tcW w:w="6520" w:type="dxa"/>
          </w:tcPr>
          <w:p>
            <w:r>
              <w:rPr>
                <w:rFonts w:ascii="Times New Roman" w:hAnsi="Times New Roman"/>
                <w:sz w:val="20"/>
              </w:rPr>
              <w:t>65 nam (38,2 %) + 105 nữ (61,8 %); tuổi trung bình 43,2 ± 13,6 (Bảng 3.1, tr. 57)</w:t>
            </w:r>
          </w:p>
        </w:tc>
      </w:tr>
      <w:tr>
        <w:tc>
          <w:tcPr>
            <w:tcW w:w="2268" w:type="dxa"/>
          </w:tcPr>
          <w:p>
            <w:r>
              <w:rPr>
                <w:rFonts w:ascii="Times New Roman" w:hAnsi="Times New Roman"/>
                <w:sz w:val="20"/>
              </w:rPr>
              <w:t>Lưu ý quan trọng</w:t>
            </w:r>
          </w:p>
        </w:tc>
        <w:tc>
          <w:tcPr>
            <w:tcW w:w="6520" w:type="dxa"/>
          </w:tcPr>
          <w:p>
            <w:r>
              <w:rPr>
                <w:rFonts w:ascii="Times New Roman" w:hAnsi="Times New Roman"/>
                <w:sz w:val="20"/>
              </w:rPr>
              <w:t>NGƯỜI LỚN — không phải VTN. Không thể ngoại suy trực tiếp cho học sinh.</w:t>
            </w:r>
          </w:p>
        </w:tc>
      </w:tr>
      <w:tr>
        <w:tc>
          <w:tcPr>
            <w:tcW w:w="2268" w:type="dxa"/>
          </w:tcPr>
          <w:p>
            <w:r>
              <w:rPr>
                <w:rFonts w:ascii="Times New Roman" w:hAnsi="Times New Roman"/>
                <w:sz w:val="20"/>
              </w:rPr>
              <w:t>Can thiệp</w:t>
            </w:r>
          </w:p>
        </w:tc>
        <w:tc>
          <w:tcPr>
            <w:tcW w:w="6520" w:type="dxa"/>
          </w:tcPr>
          <w:p>
            <w:r>
              <w:rPr>
                <w:rFonts w:ascii="Times New Roman" w:hAnsi="Times New Roman"/>
                <w:sz w:val="20"/>
              </w:rPr>
              <w:t>Liệu pháp Thư giãn – Luyện tập, 20 buổi trong 4 tuần (60 phút/buổi, 5–7 BN/nhóm)</w:t>
            </w:r>
          </w:p>
        </w:tc>
      </w:tr>
      <w:tr>
        <w:tc>
          <w:tcPr>
            <w:tcW w:w="2268" w:type="dxa"/>
          </w:tcPr>
          <w:p>
            <w:r>
              <w:rPr>
                <w:rFonts w:ascii="Times New Roman" w:hAnsi="Times New Roman"/>
                <w:sz w:val="20"/>
              </w:rPr>
              <w:t>Thiết kế</w:t>
            </w:r>
          </w:p>
        </w:tc>
        <w:tc>
          <w:tcPr>
            <w:tcW w:w="6520" w:type="dxa"/>
          </w:tcPr>
          <w:p>
            <w:r>
              <w:rPr>
                <w:rFonts w:ascii="Times New Roman" w:hAnsi="Times New Roman"/>
                <w:sz w:val="20"/>
              </w:rPr>
              <w:t>Mô tả cắt ngang (n = 170) + can thiệp lâm sàng trước–sau (n = 99)</w:t>
            </w:r>
          </w:p>
        </w:tc>
      </w:tr>
      <w:tr>
        <w:tc>
          <w:tcPr>
            <w:tcW w:w="2268" w:type="dxa"/>
          </w:tcPr>
          <w:p>
            <w:r>
              <w:rPr>
                <w:rFonts w:ascii="Times New Roman" w:hAnsi="Times New Roman"/>
                <w:sz w:val="20"/>
              </w:rPr>
              <w:t>Nguyên tắc</w:t>
            </w:r>
          </w:p>
        </w:tc>
        <w:tc>
          <w:tcPr>
            <w:tcW w:w="6520" w:type="dxa"/>
          </w:tcPr>
          <w:p>
            <w:r>
              <w:rPr>
                <w:rFonts w:ascii="Times New Roman" w:hAnsi="Times New Roman"/>
                <w:sz w:val="20"/>
              </w:rPr>
              <w:t>KHÔNG kết hợp thuốc — đánh giá thuần liệu pháp tâm lý – thể chất</w:t>
            </w:r>
          </w:p>
        </w:tc>
      </w:tr>
      <w:tr>
        <w:tc>
          <w:tcPr>
            <w:tcW w:w="2268" w:type="dxa"/>
          </w:tcPr>
          <w:p>
            <w:r>
              <w:rPr>
                <w:rFonts w:ascii="Times New Roman" w:hAnsi="Times New Roman"/>
                <w:sz w:val="20"/>
              </w:rPr>
              <w:t>Công cụ đánh giá</w:t>
            </w:r>
          </w:p>
        </w:tc>
        <w:tc>
          <w:tcPr>
            <w:tcW w:w="6520" w:type="dxa"/>
          </w:tcPr>
          <w:p>
            <w:r>
              <w:rPr>
                <w:rFonts w:ascii="Times New Roman" w:hAnsi="Times New Roman"/>
                <w:sz w:val="20"/>
              </w:rPr>
              <w:t>HAM-A (Hamilton Anxiety) + CGI + PSQI (giấc ngủ) + EPI (nhân cách Eysenck)</w:t>
            </w:r>
          </w:p>
        </w:tc>
      </w:tr>
      <w:tr>
        <w:tc>
          <w:tcPr>
            <w:tcW w:w="2268" w:type="dxa"/>
          </w:tcPr>
          <w:p>
            <w:r>
              <w:rPr>
                <w:rFonts w:ascii="Times New Roman" w:hAnsi="Times New Roman"/>
                <w:sz w:val="20"/>
              </w:rPr>
              <w:t>Thời điểm đo</w:t>
            </w:r>
          </w:p>
        </w:tc>
        <w:tc>
          <w:tcPr>
            <w:tcW w:w="6520" w:type="dxa"/>
          </w:tcPr>
          <w:p>
            <w:r>
              <w:rPr>
                <w:rFonts w:ascii="Times New Roman" w:hAnsi="Times New Roman"/>
                <w:sz w:val="20"/>
              </w:rPr>
              <w:t>T0 (vào viện), T2 (tuần 2), T4 (tuần 4 — kết thúc)</w:t>
            </w:r>
          </w:p>
        </w:tc>
      </w:tr>
    </w:tbl>
    <w:p>
      <w:pPr>
        <w:pStyle w:val="Heading3"/>
      </w:pPr>
      <w:r>
        <w:rPr>
          <w:rFonts w:ascii="Times New Roman" w:hAnsi="Times New Roman"/>
          <w:color w:val="000000"/>
        </w:rPr>
        <w:t>1.1.2. Mô tả can thiệp</w:t>
      </w:r>
    </w:p>
    <w:p>
      <w:pPr>
        <w:jc w:val="both"/>
      </w:pPr>
      <w:r>
        <w:rPr>
          <w:rFonts w:ascii="Times New Roman" w:hAnsi="Times New Roman"/>
          <w:b w:val="0"/>
          <w:i w:val="0"/>
          <w:sz w:val="24"/>
        </w:rPr>
        <w:t>Liệu pháp Thư giãn – Luyện tập của Viện Sức khoẻ Tâm thần Bạch Mai gồm ba thành phần cốt lõi được trình bày trong Chương 1 của luận án (tr. 26–41):</w:t>
      </w:r>
    </w:p>
    <w:p>
      <w:pPr>
        <w:jc w:val="both"/>
      </w:pPr>
      <w:r>
        <w:rPr>
          <w:rFonts w:ascii="Times New Roman" w:hAnsi="Times New Roman"/>
          <w:b w:val="0"/>
          <w:i w:val="0"/>
          <w:sz w:val="24"/>
        </w:rPr>
        <w:t>• Phần TẬP THƯ GIÃN: kỹ thuật thư giãn cơ tiến triển (Jacobson) và thư giãn tự sinh (Schultz). Mục tiêu kích hoạt hệ thần kinh đối giao cảm, giảm trương lực cơ và hạ phản ứng stress.</w:t>
      </w:r>
    </w:p>
    <w:p>
      <w:pPr>
        <w:jc w:val="both"/>
      </w:pPr>
      <w:r>
        <w:rPr>
          <w:rFonts w:ascii="Times New Roman" w:hAnsi="Times New Roman"/>
          <w:b w:val="0"/>
          <w:i w:val="0"/>
          <w:sz w:val="24"/>
        </w:rPr>
        <w:t>• Phần TẬP THỞ: thở bụng, thở chậm sâu, thở luân phiên theo nguyên tắc Yoga. Tác động lên biến thiên tần số tim (HRV), cân bằng hệ thần kinh tự chủ (Trần Nguyễn Ngọc 2018, tr. 38–41).</w:t>
      </w:r>
    </w:p>
    <w:p>
      <w:pPr>
        <w:jc w:val="both"/>
      </w:pPr>
      <w:r>
        <w:rPr>
          <w:rFonts w:ascii="Times New Roman" w:hAnsi="Times New Roman"/>
          <w:b w:val="0"/>
          <w:i w:val="0"/>
          <w:sz w:val="24"/>
        </w:rPr>
        <w:t>• Phần TẬP YOGA: các tư thế (asana) cơ bản phù hợp bệnh nhân tâm thần — không vận động cường độ cao. Tác giả dẫn nhiều nghiên cứu cho thấy Yoga cải thiện sức khoẻ thể chất, độ dẻo cơ thể, giảm cortisol và rối loạn mỡ máu (tr. 39–40).</w:t>
      </w:r>
    </w:p>
    <w:p>
      <w:pPr>
        <w:jc w:val="both"/>
      </w:pPr>
      <w:r>
        <w:rPr>
          <w:rFonts w:ascii="Times New Roman" w:hAnsi="Times New Roman"/>
          <w:b w:val="0"/>
          <w:i/>
          <w:sz w:val="24"/>
        </w:rPr>
        <w:t>Cấu trúc một buổi 60 phút chia làm 5 phần (tr. 45):</w:t>
      </w:r>
    </w:p>
    <w:tbl>
      <w:tblPr>
        <w:tblStyle w:val="TableGrid"/>
        <w:tblW w:type="auto" w:w="0"/>
        <w:jc w:val="center"/>
        <w:tblLook w:firstColumn="1" w:firstRow="1" w:lastColumn="0" w:lastRow="0" w:noHBand="0" w:noVBand="1" w:val="04A0"/>
        <w:tblLayout w:type="fixed"/>
      </w:tblPr>
      <w:tblGrid>
        <w:gridCol w:w="680"/>
        <w:gridCol w:w="1134"/>
        <w:gridCol w:w="4819"/>
        <w:gridCol w:w="2154"/>
      </w:tblGrid>
      <w:tr>
        <w:tc>
          <w:tcPr>
            <w:tcW w:w="680" w:type="dxa"/>
            <w:shd w:fill="D9E2F3" w:val="clear"/>
          </w:tcPr>
          <w:p>
            <w:pPr>
              <w:jc w:val="center"/>
            </w:pPr>
            <w:r>
              <w:rPr>
                <w:rFonts w:ascii="Times New Roman" w:hAnsi="Times New Roman"/>
                <w:b/>
                <w:sz w:val="20"/>
              </w:rPr>
              <w:t>Phần</w:t>
            </w:r>
          </w:p>
        </w:tc>
        <w:tc>
          <w:tcPr>
            <w:tcW w:w="1134" w:type="dxa"/>
            <w:shd w:fill="D9E2F3" w:val="clear"/>
          </w:tcPr>
          <w:p>
            <w:pPr>
              <w:jc w:val="center"/>
            </w:pPr>
            <w:r>
              <w:rPr>
                <w:rFonts w:ascii="Times New Roman" w:hAnsi="Times New Roman"/>
                <w:b/>
                <w:sz w:val="20"/>
              </w:rPr>
              <w:t>Thời gian</w:t>
            </w:r>
          </w:p>
        </w:tc>
        <w:tc>
          <w:tcPr>
            <w:tcW w:w="4819" w:type="dxa"/>
            <w:shd w:fill="D9E2F3" w:val="clear"/>
          </w:tcPr>
          <w:p>
            <w:pPr>
              <w:jc w:val="center"/>
            </w:pPr>
            <w:r>
              <w:rPr>
                <w:rFonts w:ascii="Times New Roman" w:hAnsi="Times New Roman"/>
                <w:b/>
                <w:sz w:val="20"/>
              </w:rPr>
              <w:t>Nội dung</w:t>
            </w:r>
          </w:p>
        </w:tc>
        <w:tc>
          <w:tcPr>
            <w:tcW w:w="2154" w:type="dxa"/>
            <w:shd w:fill="D9E2F3" w:val="clear"/>
          </w:tcPr>
          <w:p>
            <w:pPr>
              <w:jc w:val="center"/>
            </w:pPr>
            <w:r>
              <w:rPr>
                <w:rFonts w:ascii="Times New Roman" w:hAnsi="Times New Roman"/>
                <w:b/>
                <w:sz w:val="20"/>
              </w:rPr>
              <w:t>Người phụ trách</w:t>
            </w:r>
          </w:p>
        </w:tc>
      </w:tr>
      <w:tr>
        <w:tc>
          <w:tcPr>
            <w:tcW w:w="680" w:type="dxa"/>
          </w:tcPr>
          <w:p>
            <w:r>
              <w:rPr>
                <w:rFonts w:ascii="Times New Roman" w:hAnsi="Times New Roman"/>
                <w:sz w:val="20"/>
              </w:rPr>
              <w:t>1</w:t>
            </w:r>
          </w:p>
        </w:tc>
        <w:tc>
          <w:tcPr>
            <w:tcW w:w="1134" w:type="dxa"/>
          </w:tcPr>
          <w:p>
            <w:r>
              <w:rPr>
                <w:rFonts w:ascii="Times New Roman" w:hAnsi="Times New Roman"/>
                <w:sz w:val="20"/>
              </w:rPr>
              <w:t>15 phút</w:t>
            </w:r>
          </w:p>
        </w:tc>
        <w:tc>
          <w:tcPr>
            <w:tcW w:w="4819" w:type="dxa"/>
          </w:tcPr>
          <w:p>
            <w:r>
              <w:rPr>
                <w:rFonts w:ascii="Times New Roman" w:hAnsi="Times New Roman"/>
                <w:sz w:val="20"/>
              </w:rPr>
              <w:t>Đánh giá kết quả buổi trước; thảo luận; đo sinh tồn</w:t>
            </w:r>
          </w:p>
        </w:tc>
        <w:tc>
          <w:tcPr>
            <w:tcW w:w="2154" w:type="dxa"/>
          </w:tcPr>
          <w:p>
            <w:r>
              <w:rPr>
                <w:rFonts w:ascii="Times New Roman" w:hAnsi="Times New Roman"/>
                <w:sz w:val="20"/>
              </w:rPr>
              <w:t>Bác sĩ + điều dưỡng</w:t>
            </w:r>
          </w:p>
        </w:tc>
      </w:tr>
      <w:tr>
        <w:tc>
          <w:tcPr>
            <w:tcW w:w="680" w:type="dxa"/>
          </w:tcPr>
          <w:p>
            <w:r>
              <w:rPr>
                <w:rFonts w:ascii="Times New Roman" w:hAnsi="Times New Roman"/>
                <w:sz w:val="20"/>
              </w:rPr>
              <w:t>2</w:t>
            </w:r>
          </w:p>
        </w:tc>
        <w:tc>
          <w:tcPr>
            <w:tcW w:w="1134" w:type="dxa"/>
          </w:tcPr>
          <w:p>
            <w:r>
              <w:rPr>
                <w:rFonts w:ascii="Times New Roman" w:hAnsi="Times New Roman"/>
                <w:sz w:val="20"/>
              </w:rPr>
              <w:t>10 phút</w:t>
            </w:r>
          </w:p>
        </w:tc>
        <w:tc>
          <w:tcPr>
            <w:tcW w:w="4819" w:type="dxa"/>
          </w:tcPr>
          <w:p>
            <w:r>
              <w:rPr>
                <w:rFonts w:ascii="Times New Roman" w:hAnsi="Times New Roman"/>
                <w:sz w:val="20"/>
              </w:rPr>
              <w:t>Khởi động cơ thể</w:t>
            </w:r>
          </w:p>
        </w:tc>
        <w:tc>
          <w:tcPr>
            <w:tcW w:w="2154" w:type="dxa"/>
          </w:tcPr>
          <w:p>
            <w:r>
              <w:rPr>
                <w:rFonts w:ascii="Times New Roman" w:hAnsi="Times New Roman"/>
                <w:sz w:val="20"/>
              </w:rPr>
              <w:t>Cử nhân tâm lý</w:t>
            </w:r>
          </w:p>
        </w:tc>
      </w:tr>
      <w:tr>
        <w:tc>
          <w:tcPr>
            <w:tcW w:w="680" w:type="dxa"/>
          </w:tcPr>
          <w:p>
            <w:r>
              <w:rPr>
                <w:rFonts w:ascii="Times New Roman" w:hAnsi="Times New Roman"/>
                <w:sz w:val="20"/>
              </w:rPr>
              <w:t>3</w:t>
            </w:r>
          </w:p>
        </w:tc>
        <w:tc>
          <w:tcPr>
            <w:tcW w:w="1134" w:type="dxa"/>
          </w:tcPr>
          <w:p>
            <w:r>
              <w:rPr>
                <w:rFonts w:ascii="Times New Roman" w:hAnsi="Times New Roman"/>
                <w:sz w:val="20"/>
              </w:rPr>
              <w:t>20 phút</w:t>
            </w:r>
          </w:p>
        </w:tc>
        <w:tc>
          <w:tcPr>
            <w:tcW w:w="4819" w:type="dxa"/>
          </w:tcPr>
          <w:p>
            <w:r>
              <w:rPr>
                <w:rFonts w:ascii="Times New Roman" w:hAnsi="Times New Roman"/>
                <w:sz w:val="20"/>
              </w:rPr>
              <w:t>Tập chính: thư giãn + thở + Yoga</w:t>
            </w:r>
          </w:p>
        </w:tc>
        <w:tc>
          <w:tcPr>
            <w:tcW w:w="2154" w:type="dxa"/>
          </w:tcPr>
          <w:p>
            <w:r>
              <w:rPr>
                <w:rFonts w:ascii="Times New Roman" w:hAnsi="Times New Roman"/>
                <w:sz w:val="20"/>
              </w:rPr>
              <w:t>Cử nhân tâm lý</w:t>
            </w:r>
          </w:p>
        </w:tc>
      </w:tr>
      <w:tr>
        <w:tc>
          <w:tcPr>
            <w:tcW w:w="680" w:type="dxa"/>
          </w:tcPr>
          <w:p>
            <w:r>
              <w:rPr>
                <w:rFonts w:ascii="Times New Roman" w:hAnsi="Times New Roman"/>
                <w:sz w:val="20"/>
              </w:rPr>
              <w:t>4</w:t>
            </w:r>
          </w:p>
        </w:tc>
        <w:tc>
          <w:tcPr>
            <w:tcW w:w="1134" w:type="dxa"/>
          </w:tcPr>
          <w:p>
            <w:r>
              <w:rPr>
                <w:rFonts w:ascii="Times New Roman" w:hAnsi="Times New Roman"/>
                <w:sz w:val="20"/>
              </w:rPr>
              <w:t>10 phút</w:t>
            </w:r>
          </w:p>
        </w:tc>
        <w:tc>
          <w:tcPr>
            <w:tcW w:w="4819" w:type="dxa"/>
          </w:tcPr>
          <w:p>
            <w:r>
              <w:rPr>
                <w:rFonts w:ascii="Times New Roman" w:hAnsi="Times New Roman"/>
                <w:sz w:val="20"/>
              </w:rPr>
              <w:t>Tập trung tâm trí</w:t>
            </w:r>
          </w:p>
        </w:tc>
        <w:tc>
          <w:tcPr>
            <w:tcW w:w="2154" w:type="dxa"/>
          </w:tcPr>
          <w:p>
            <w:r>
              <w:rPr>
                <w:rFonts w:ascii="Times New Roman" w:hAnsi="Times New Roman"/>
                <w:sz w:val="20"/>
              </w:rPr>
              <w:t>Cử nhân tâm lý</w:t>
            </w:r>
          </w:p>
        </w:tc>
      </w:tr>
      <w:tr>
        <w:tc>
          <w:tcPr>
            <w:tcW w:w="680" w:type="dxa"/>
          </w:tcPr>
          <w:p>
            <w:r>
              <w:rPr>
                <w:rFonts w:ascii="Times New Roman" w:hAnsi="Times New Roman"/>
                <w:sz w:val="20"/>
              </w:rPr>
              <w:t>5</w:t>
            </w:r>
          </w:p>
        </w:tc>
        <w:tc>
          <w:tcPr>
            <w:tcW w:w="1134" w:type="dxa"/>
          </w:tcPr>
          <w:p>
            <w:r>
              <w:rPr>
                <w:rFonts w:ascii="Times New Roman" w:hAnsi="Times New Roman"/>
                <w:sz w:val="20"/>
              </w:rPr>
              <w:t>5 phút</w:t>
            </w:r>
          </w:p>
        </w:tc>
        <w:tc>
          <w:tcPr>
            <w:tcW w:w="4819" w:type="dxa"/>
          </w:tcPr>
          <w:p>
            <w:r>
              <w:rPr>
                <w:rFonts w:ascii="Times New Roman" w:hAnsi="Times New Roman"/>
                <w:sz w:val="20"/>
              </w:rPr>
              <w:t>Kết thúc, đo sinh tồn lại</w:t>
            </w:r>
          </w:p>
        </w:tc>
        <w:tc>
          <w:tcPr>
            <w:tcW w:w="2154" w:type="dxa"/>
          </w:tcPr>
          <w:p>
            <w:r>
              <w:rPr>
                <w:rFonts w:ascii="Times New Roman" w:hAnsi="Times New Roman"/>
                <w:sz w:val="20"/>
              </w:rPr>
              <w:t>Điều dưỡng</w:t>
            </w:r>
          </w:p>
        </w:tc>
      </w:tr>
    </w:tbl>
    <w:p>
      <w:pPr>
        <w:jc w:val="both"/>
      </w:pPr>
      <w:r>
        <w:rPr>
          <w:rFonts w:ascii="Times New Roman" w:hAnsi="Times New Roman"/>
          <w:b w:val="0"/>
          <w:i/>
          <w:sz w:val="24"/>
        </w:rPr>
        <w:t>Mỗi buổi tập có ít nhất 1 bác sĩ + 1 cán bộ tâm lý + 1 điều dưỡng theo dõi. Tổng cộng 20 buổi trong 4 tuần. Bệnh nhân tập tại Phòng Tâm lý lâm sàng của Viện Sức khoẻ Tâm thần.</w:t>
      </w:r>
    </w:p>
    <w:p>
      <w:pPr>
        <w:pStyle w:val="Heading3"/>
      </w:pPr>
      <w:r>
        <w:rPr>
          <w:rFonts w:ascii="Times New Roman" w:hAnsi="Times New Roman"/>
          <w:color w:val="000000"/>
        </w:rPr>
        <w:t>1.1.3. Kết quả chính</w:t>
      </w:r>
    </w:p>
    <w:p>
      <w:pPr>
        <w:jc w:val="both"/>
      </w:pPr>
      <w:r>
        <w:rPr>
          <w:rFonts w:ascii="Times New Roman" w:hAnsi="Times New Roman"/>
          <w:b w:val="0"/>
          <w:i w:val="0"/>
          <w:sz w:val="24"/>
        </w:rPr>
        <w:t>Sau 4 tuần điều trị (n = 99 bệnh nhân hoàn thành), kết quả trên thang HAM-A cho thấy sự thuyên giảm rõ rệt và có ý nghĩa thống kê mạnh (Trần Nguyễn Ngọc 2018, Bảng 3.20, tr. 76):</w:t>
      </w:r>
    </w:p>
    <w:tbl>
      <w:tblPr>
        <w:tblStyle w:val="TableGrid"/>
        <w:tblW w:type="auto" w:w="0"/>
        <w:jc w:val="center"/>
        <w:tblLook w:firstColumn="1" w:firstRow="1" w:lastColumn="0" w:lastRow="0" w:noHBand="0" w:noVBand="1" w:val="04A0"/>
        <w:tblLayout w:type="fixed"/>
      </w:tblPr>
      <w:tblGrid>
        <w:gridCol w:w="1984"/>
        <w:gridCol w:w="1417"/>
        <w:gridCol w:w="1417"/>
        <w:gridCol w:w="1417"/>
        <w:gridCol w:w="1417"/>
        <w:gridCol w:w="1417"/>
      </w:tblGrid>
      <w:tr>
        <w:tc>
          <w:tcPr>
            <w:tcW w:w="1984" w:type="dxa"/>
            <w:shd w:fill="D9E2F3" w:val="clear"/>
          </w:tcPr>
          <w:p>
            <w:pPr>
              <w:jc w:val="center"/>
            </w:pPr>
            <w:r>
              <w:rPr>
                <w:rFonts w:ascii="Times New Roman" w:hAnsi="Times New Roman"/>
                <w:b/>
                <w:sz w:val="20"/>
              </w:rPr>
              <w:t>Mức độ lo âu</w:t>
            </w:r>
          </w:p>
        </w:tc>
        <w:tc>
          <w:tcPr>
            <w:tcW w:w="1417" w:type="dxa"/>
            <w:shd w:fill="D9E2F3" w:val="clear"/>
          </w:tcPr>
          <w:p>
            <w:pPr>
              <w:jc w:val="center"/>
            </w:pPr>
            <w:r>
              <w:rPr>
                <w:rFonts w:ascii="Times New Roman" w:hAnsi="Times New Roman"/>
                <w:b/>
                <w:sz w:val="20"/>
              </w:rPr>
              <w:t>T0 (vào viện)</w:t>
            </w:r>
          </w:p>
        </w:tc>
        <w:tc>
          <w:tcPr>
            <w:tcW w:w="1417" w:type="dxa"/>
            <w:shd w:fill="D9E2F3" w:val="clear"/>
          </w:tcPr>
          <w:p>
            <w:pPr>
              <w:jc w:val="center"/>
            </w:pPr>
            <w:r>
              <w:rPr>
                <w:rFonts w:ascii="Times New Roman" w:hAnsi="Times New Roman"/>
                <w:b/>
                <w:sz w:val="20"/>
              </w:rPr>
              <w:t>T2 (tuần 2)</w:t>
            </w:r>
          </w:p>
        </w:tc>
        <w:tc>
          <w:tcPr>
            <w:tcW w:w="1417" w:type="dxa"/>
            <w:shd w:fill="D9E2F3" w:val="clear"/>
          </w:tcPr>
          <w:p>
            <w:pPr>
              <w:jc w:val="center"/>
            </w:pPr>
            <w:r>
              <w:rPr>
                <w:rFonts w:ascii="Times New Roman" w:hAnsi="Times New Roman"/>
                <w:b/>
                <w:sz w:val="20"/>
              </w:rPr>
              <w:t>T4 (tuần 4)</w:t>
            </w:r>
          </w:p>
        </w:tc>
        <w:tc>
          <w:tcPr>
            <w:tcW w:w="1417" w:type="dxa"/>
            <w:shd w:fill="D9E2F3" w:val="clear"/>
          </w:tcPr>
          <w:p>
            <w:pPr>
              <w:jc w:val="center"/>
            </w:pPr>
            <w:r>
              <w:rPr>
                <w:rFonts w:ascii="Times New Roman" w:hAnsi="Times New Roman"/>
                <w:b/>
                <w:sz w:val="20"/>
              </w:rPr>
              <w:t>p (T0–T2)</w:t>
            </w:r>
          </w:p>
        </w:tc>
        <w:tc>
          <w:tcPr>
            <w:tcW w:w="1417" w:type="dxa"/>
            <w:shd w:fill="D9E2F3" w:val="clear"/>
          </w:tcPr>
          <w:p>
            <w:pPr>
              <w:jc w:val="center"/>
            </w:pPr>
            <w:r>
              <w:rPr>
                <w:rFonts w:ascii="Times New Roman" w:hAnsi="Times New Roman"/>
                <w:b/>
                <w:sz w:val="20"/>
              </w:rPr>
              <w:t>p (T0–T4)</w:t>
            </w:r>
          </w:p>
        </w:tc>
      </w:tr>
      <w:tr>
        <w:tc>
          <w:tcPr>
            <w:tcW w:w="1984" w:type="dxa"/>
          </w:tcPr>
          <w:p>
            <w:r>
              <w:rPr>
                <w:rFonts w:ascii="Times New Roman" w:hAnsi="Times New Roman"/>
                <w:sz w:val="20"/>
              </w:rPr>
              <w:t>Nhẹ</w:t>
            </w:r>
          </w:p>
        </w:tc>
        <w:tc>
          <w:tcPr>
            <w:tcW w:w="1417" w:type="dxa"/>
          </w:tcPr>
          <w:p>
            <w:r>
              <w:rPr>
                <w:rFonts w:ascii="Times New Roman" w:hAnsi="Times New Roman"/>
                <w:sz w:val="20"/>
              </w:rPr>
              <w:t>34,3 %</w:t>
            </w:r>
          </w:p>
        </w:tc>
        <w:tc>
          <w:tcPr>
            <w:tcW w:w="1417" w:type="dxa"/>
          </w:tcPr>
          <w:p>
            <w:r>
              <w:rPr>
                <w:rFonts w:ascii="Times New Roman" w:hAnsi="Times New Roman"/>
                <w:sz w:val="20"/>
              </w:rPr>
              <w:t>53,6 %</w:t>
            </w:r>
          </w:p>
        </w:tc>
        <w:tc>
          <w:tcPr>
            <w:tcW w:w="1417" w:type="dxa"/>
          </w:tcPr>
          <w:p>
            <w:r>
              <w:rPr>
                <w:rFonts w:ascii="Times New Roman" w:hAnsi="Times New Roman"/>
                <w:sz w:val="20"/>
              </w:rPr>
              <w:t>52,5 %</w:t>
            </w:r>
          </w:p>
        </w:tc>
        <w:tc>
          <w:tcPr>
            <w:tcW w:w="1417" w:type="dxa"/>
          </w:tcPr>
          <w:p>
            <w:r>
              <w:rPr>
                <w:rFonts w:ascii="Times New Roman" w:hAnsi="Times New Roman"/>
                <w:sz w:val="20"/>
              </w:rPr>
              <w:t>&lt; 0,0001</w:t>
            </w:r>
          </w:p>
        </w:tc>
        <w:tc>
          <w:tcPr>
            <w:tcW w:w="1417" w:type="dxa"/>
          </w:tcPr>
          <w:p>
            <w:r>
              <w:rPr>
                <w:rFonts w:ascii="Times New Roman" w:hAnsi="Times New Roman"/>
                <w:sz w:val="20"/>
              </w:rPr>
              <w:t>0,0001</w:t>
            </w:r>
          </w:p>
        </w:tc>
      </w:tr>
      <w:tr>
        <w:tc>
          <w:tcPr>
            <w:tcW w:w="1984" w:type="dxa"/>
          </w:tcPr>
          <w:p>
            <w:r>
              <w:rPr>
                <w:rFonts w:ascii="Times New Roman" w:hAnsi="Times New Roman"/>
                <w:sz w:val="20"/>
              </w:rPr>
              <w:t>Vừa</w:t>
            </w:r>
          </w:p>
        </w:tc>
        <w:tc>
          <w:tcPr>
            <w:tcW w:w="1417" w:type="dxa"/>
          </w:tcPr>
          <w:p>
            <w:r>
              <w:rPr>
                <w:rFonts w:ascii="Times New Roman" w:hAnsi="Times New Roman"/>
                <w:sz w:val="20"/>
              </w:rPr>
              <w:t>20,2 %</w:t>
            </w:r>
          </w:p>
        </w:tc>
        <w:tc>
          <w:tcPr>
            <w:tcW w:w="1417" w:type="dxa"/>
          </w:tcPr>
          <w:p>
            <w:r>
              <w:rPr>
                <w:rFonts w:ascii="Times New Roman" w:hAnsi="Times New Roman"/>
                <w:sz w:val="20"/>
              </w:rPr>
              <w:t>24,2 %</w:t>
            </w:r>
          </w:p>
        </w:tc>
        <w:tc>
          <w:tcPr>
            <w:tcW w:w="1417" w:type="dxa"/>
          </w:tcPr>
          <w:p>
            <w:r>
              <w:rPr>
                <w:rFonts w:ascii="Times New Roman" w:hAnsi="Times New Roman"/>
                <w:sz w:val="20"/>
              </w:rPr>
              <w:t>36,4 %</w:t>
            </w:r>
          </w:p>
        </w:tc>
        <w:tc>
          <w:tcPr>
            <w:tcW w:w="1417" w:type="dxa"/>
          </w:tcPr>
          <w:p>
            <w:r>
              <w:rPr>
                <w:rFonts w:ascii="Times New Roman" w:hAnsi="Times New Roman"/>
                <w:sz w:val="20"/>
              </w:rPr>
              <w:t>0,1582</w:t>
            </w:r>
          </w:p>
        </w:tc>
        <w:tc>
          <w:tcPr>
            <w:tcW w:w="1417" w:type="dxa"/>
          </w:tcPr>
          <w:p>
            <w:r>
              <w:rPr>
                <w:rFonts w:ascii="Times New Roman" w:hAnsi="Times New Roman"/>
                <w:sz w:val="20"/>
              </w:rPr>
              <w:t>&lt; 0,0001</w:t>
            </w:r>
          </w:p>
        </w:tc>
      </w:tr>
      <w:tr>
        <w:tc>
          <w:tcPr>
            <w:tcW w:w="1984" w:type="dxa"/>
          </w:tcPr>
          <w:p>
            <w:r>
              <w:rPr>
                <w:rFonts w:ascii="Times New Roman" w:hAnsi="Times New Roman"/>
                <w:sz w:val="20"/>
              </w:rPr>
              <w:t>Nặng</w:t>
            </w:r>
          </w:p>
        </w:tc>
        <w:tc>
          <w:tcPr>
            <w:tcW w:w="1417" w:type="dxa"/>
          </w:tcPr>
          <w:p>
            <w:r>
              <w:rPr>
                <w:rFonts w:ascii="Times New Roman" w:hAnsi="Times New Roman"/>
                <w:sz w:val="20"/>
              </w:rPr>
              <w:t>45,5 %</w:t>
            </w:r>
          </w:p>
        </w:tc>
        <w:tc>
          <w:tcPr>
            <w:tcW w:w="1417" w:type="dxa"/>
          </w:tcPr>
          <w:p>
            <w:r>
              <w:rPr>
                <w:rFonts w:ascii="Times New Roman" w:hAnsi="Times New Roman"/>
                <w:sz w:val="20"/>
              </w:rPr>
              <w:t>22,2 %</w:t>
            </w:r>
          </w:p>
        </w:tc>
        <w:tc>
          <w:tcPr>
            <w:tcW w:w="1417" w:type="dxa"/>
          </w:tcPr>
          <w:p>
            <w:r>
              <w:rPr>
                <w:rFonts w:ascii="Times New Roman" w:hAnsi="Times New Roman"/>
                <w:sz w:val="20"/>
              </w:rPr>
              <w:t>11,1 %</w:t>
            </w:r>
          </w:p>
        </w:tc>
        <w:tc>
          <w:tcPr>
            <w:tcW w:w="1417" w:type="dxa"/>
          </w:tcPr>
          <w:p>
            <w:r>
              <w:rPr>
                <w:rFonts w:ascii="Times New Roman" w:hAnsi="Times New Roman"/>
                <w:sz w:val="20"/>
              </w:rPr>
              <w:t>&lt; 0,0001</w:t>
            </w:r>
          </w:p>
        </w:tc>
        <w:tc>
          <w:tcPr>
            <w:tcW w:w="1417" w:type="dxa"/>
          </w:tcPr>
          <w:p>
            <w:r>
              <w:rPr>
                <w:rFonts w:ascii="Times New Roman" w:hAnsi="Times New Roman"/>
                <w:sz w:val="20"/>
              </w:rPr>
              <w:t>&lt; 0,0001</w:t>
            </w:r>
          </w:p>
        </w:tc>
      </w:tr>
    </w:tbl>
    <w:p>
      <w:r>
        <w:rPr>
          <w:rFonts w:ascii="Times New Roman" w:hAnsi="Times New Roman"/>
          <w:b w:val="0"/>
          <w:i/>
          <w:sz w:val="20"/>
        </w:rPr>
        <w:t>Bảng 1. Mức độ lo âu HAM-A theo thời gian điều trị (n = 99). Nguồn: Trần Nguyễn Ngọc 2018, Bảng 3.20, tr. 76.</w:t>
      </w:r>
    </w:p>
    <w:p>
      <w:pPr>
        <w:jc w:val="center"/>
      </w:pPr>
      <w:r>
        <w:drawing>
          <wp:inline xmlns:a="http://schemas.openxmlformats.org/drawingml/2006/main" xmlns:pic="http://schemas.openxmlformats.org/drawingml/2006/picture">
            <wp:extent cx="5580000" cy="3318323"/>
            <wp:docPr id="2" name="Picture 2"/>
            <wp:cNvGraphicFramePr>
              <a:graphicFrameLocks noChangeAspect="1"/>
            </wp:cNvGraphicFramePr>
            <a:graphic>
              <a:graphicData uri="http://schemas.openxmlformats.org/drawingml/2006/picture">
                <pic:pic>
                  <pic:nvPicPr>
                    <pic:cNvPr id="0" name="chart1_HAMA_TranNguyenNgoc.png"/>
                    <pic:cNvPicPr/>
                  </pic:nvPicPr>
                  <pic:blipFill>
                    <a:blip r:embed="rId10"/>
                    <a:stretch>
                      <a:fillRect/>
                    </a:stretch>
                  </pic:blipFill>
                  <pic:spPr>
                    <a:xfrm>
                      <a:off x="0" y="0"/>
                      <a:ext cx="5580000" cy="3318323"/>
                    </a:xfrm>
                    <a:prstGeom prst="rect"/>
                  </pic:spPr>
                </pic:pic>
              </a:graphicData>
            </a:graphic>
          </wp:inline>
        </w:drawing>
      </w:r>
    </w:p>
    <w:p>
      <w:pPr>
        <w:jc w:val="both"/>
      </w:pPr>
      <w:r>
        <w:rPr>
          <w:rFonts w:ascii="Times New Roman" w:hAnsi="Times New Roman"/>
          <w:b w:val="0"/>
          <w:i w:val="0"/>
          <w:sz w:val="24"/>
        </w:rPr>
        <w:t>Đáng chú ý, tỷ lệ bệnh nhân ở mức NẶNG giảm mạnh từ 45,5 % (T0) xuống còn 11,1 % (T4) — giảm gần 4 lần. Tỷ lệ mức VỪA tăng tạm thời ở T2 (24,2 %) và rõ rệt ở T4 (36,4 %), phản ánh hiện tượng các bệnh nhân nặng "trượt xuống" mức vừa rồi tiếp tục cải thiện thành mức nhẹ. Đây là kiểu đáp ứng điển hình của can thiệp tâm lý dài hạn.</w:t>
      </w:r>
    </w:p>
    <w:p>
      <w:pPr>
        <w:jc w:val="both"/>
      </w:pPr>
      <w:r>
        <w:rPr>
          <w:rFonts w:ascii="Times New Roman" w:hAnsi="Times New Roman"/>
          <w:b w:val="0"/>
          <w:i w:val="0"/>
          <w:sz w:val="24"/>
        </w:rPr>
        <w:t>Về 22 triệu chứng riêng lẻ (Bảng 3.22 tr. 77), tổng số triệu chứng trung bình giảm từ 11,8 ± 3,5 (T0) xuống 5,1 ± 4,9 (T4), với p &lt; 0,0001. Nhóm triệu chứng kích thích thần kinh thực vật cải thiện đặc biệt mạnh:</w:t>
      </w:r>
    </w:p>
    <w:tbl>
      <w:tblPr>
        <w:tblStyle w:val="TableGrid"/>
        <w:tblW w:type="auto" w:w="0"/>
        <w:jc w:val="center"/>
        <w:tblLook w:firstColumn="1" w:firstRow="1" w:lastColumn="0" w:lastRow="0" w:noHBand="0" w:noVBand="1" w:val="04A0"/>
        <w:tblLayout w:type="fixed"/>
      </w:tblPr>
      <w:tblGrid>
        <w:gridCol w:w="3402"/>
        <w:gridCol w:w="1134"/>
        <w:gridCol w:w="1134"/>
        <w:gridCol w:w="1134"/>
        <w:gridCol w:w="1701"/>
      </w:tblGrid>
      <w:tr>
        <w:tc>
          <w:tcPr>
            <w:tcW w:w="3402" w:type="dxa"/>
            <w:shd w:fill="D9E2F3" w:val="clear"/>
          </w:tcPr>
          <w:p>
            <w:pPr>
              <w:jc w:val="center"/>
            </w:pPr>
            <w:r>
              <w:rPr>
                <w:rFonts w:ascii="Times New Roman" w:hAnsi="Times New Roman"/>
                <w:b/>
                <w:sz w:val="20"/>
              </w:rPr>
              <w:t>Triệu chứng</w:t>
            </w:r>
          </w:p>
        </w:tc>
        <w:tc>
          <w:tcPr>
            <w:tcW w:w="1134" w:type="dxa"/>
            <w:shd w:fill="D9E2F3" w:val="clear"/>
          </w:tcPr>
          <w:p>
            <w:pPr>
              <w:jc w:val="center"/>
            </w:pPr>
            <w:r>
              <w:rPr>
                <w:rFonts w:ascii="Times New Roman" w:hAnsi="Times New Roman"/>
                <w:b/>
                <w:sz w:val="20"/>
              </w:rPr>
              <w:t>T0</w:t>
            </w:r>
          </w:p>
        </w:tc>
        <w:tc>
          <w:tcPr>
            <w:tcW w:w="1134" w:type="dxa"/>
            <w:shd w:fill="D9E2F3" w:val="clear"/>
          </w:tcPr>
          <w:p>
            <w:pPr>
              <w:jc w:val="center"/>
            </w:pPr>
            <w:r>
              <w:rPr>
                <w:rFonts w:ascii="Times New Roman" w:hAnsi="Times New Roman"/>
                <w:b/>
                <w:sz w:val="20"/>
              </w:rPr>
              <w:t>T2</w:t>
            </w:r>
          </w:p>
        </w:tc>
        <w:tc>
          <w:tcPr>
            <w:tcW w:w="1134" w:type="dxa"/>
            <w:shd w:fill="D9E2F3" w:val="clear"/>
          </w:tcPr>
          <w:p>
            <w:pPr>
              <w:jc w:val="center"/>
            </w:pPr>
            <w:r>
              <w:rPr>
                <w:rFonts w:ascii="Times New Roman" w:hAnsi="Times New Roman"/>
                <w:b/>
                <w:sz w:val="20"/>
              </w:rPr>
              <w:t>T4</w:t>
            </w:r>
          </w:p>
        </w:tc>
        <w:tc>
          <w:tcPr>
            <w:tcW w:w="1701" w:type="dxa"/>
            <w:shd w:fill="D9E2F3" w:val="clear"/>
          </w:tcPr>
          <w:p>
            <w:pPr>
              <w:jc w:val="center"/>
            </w:pPr>
            <w:r>
              <w:rPr>
                <w:rFonts w:ascii="Times New Roman" w:hAnsi="Times New Roman"/>
                <w:b/>
                <w:sz w:val="20"/>
              </w:rPr>
              <w:t>p (T0–T4)</w:t>
            </w:r>
          </w:p>
        </w:tc>
      </w:tr>
      <w:tr>
        <w:tc>
          <w:tcPr>
            <w:tcW w:w="3402" w:type="dxa"/>
          </w:tcPr>
          <w:p>
            <w:r>
              <w:rPr>
                <w:rFonts w:ascii="Times New Roman" w:hAnsi="Times New Roman"/>
                <w:sz w:val="20"/>
              </w:rPr>
              <w:t>Hồi hộp / tim đập nhanh</w:t>
            </w:r>
          </w:p>
        </w:tc>
        <w:tc>
          <w:tcPr>
            <w:tcW w:w="1134" w:type="dxa"/>
          </w:tcPr>
          <w:p>
            <w:r>
              <w:rPr>
                <w:rFonts w:ascii="Times New Roman" w:hAnsi="Times New Roman"/>
                <w:sz w:val="20"/>
              </w:rPr>
              <w:t>88,9 %</w:t>
            </w:r>
          </w:p>
        </w:tc>
        <w:tc>
          <w:tcPr>
            <w:tcW w:w="1134" w:type="dxa"/>
          </w:tcPr>
          <w:p>
            <w:r>
              <w:rPr>
                <w:rFonts w:ascii="Times New Roman" w:hAnsi="Times New Roman"/>
                <w:sz w:val="20"/>
              </w:rPr>
              <w:t>73,7 %</w:t>
            </w:r>
          </w:p>
        </w:tc>
        <w:tc>
          <w:tcPr>
            <w:tcW w:w="1134" w:type="dxa"/>
          </w:tcPr>
          <w:p>
            <w:r>
              <w:rPr>
                <w:rFonts w:ascii="Times New Roman" w:hAnsi="Times New Roman"/>
                <w:sz w:val="20"/>
              </w:rPr>
              <w:t>43,4 %</w:t>
            </w:r>
          </w:p>
        </w:tc>
        <w:tc>
          <w:tcPr>
            <w:tcW w:w="1701" w:type="dxa"/>
          </w:tcPr>
          <w:p>
            <w:r>
              <w:rPr>
                <w:rFonts w:ascii="Times New Roman" w:hAnsi="Times New Roman"/>
                <w:sz w:val="20"/>
              </w:rPr>
              <w:t>&lt; 0,0001</w:t>
            </w:r>
          </w:p>
        </w:tc>
      </w:tr>
      <w:tr>
        <w:tc>
          <w:tcPr>
            <w:tcW w:w="3402" w:type="dxa"/>
          </w:tcPr>
          <w:p>
            <w:r>
              <w:rPr>
                <w:rFonts w:ascii="Times New Roman" w:hAnsi="Times New Roman"/>
                <w:sz w:val="20"/>
              </w:rPr>
              <w:t>Vã mồ hôi</w:t>
            </w:r>
          </w:p>
        </w:tc>
        <w:tc>
          <w:tcPr>
            <w:tcW w:w="1134" w:type="dxa"/>
          </w:tcPr>
          <w:p>
            <w:r>
              <w:rPr>
                <w:rFonts w:ascii="Times New Roman" w:hAnsi="Times New Roman"/>
                <w:sz w:val="20"/>
              </w:rPr>
              <w:t>59,6 %</w:t>
            </w:r>
          </w:p>
        </w:tc>
        <w:tc>
          <w:tcPr>
            <w:tcW w:w="1134" w:type="dxa"/>
          </w:tcPr>
          <w:p>
            <w:r>
              <w:rPr>
                <w:rFonts w:ascii="Times New Roman" w:hAnsi="Times New Roman"/>
                <w:sz w:val="20"/>
              </w:rPr>
              <w:t>36,3 %</w:t>
            </w:r>
          </w:p>
        </w:tc>
        <w:tc>
          <w:tcPr>
            <w:tcW w:w="1134" w:type="dxa"/>
          </w:tcPr>
          <w:p>
            <w:r>
              <w:rPr>
                <w:rFonts w:ascii="Times New Roman" w:hAnsi="Times New Roman"/>
                <w:sz w:val="20"/>
              </w:rPr>
              <w:t>16,1 %</w:t>
            </w:r>
          </w:p>
        </w:tc>
        <w:tc>
          <w:tcPr>
            <w:tcW w:w="1701" w:type="dxa"/>
          </w:tcPr>
          <w:p>
            <w:r>
              <w:rPr>
                <w:rFonts w:ascii="Times New Roman" w:hAnsi="Times New Roman"/>
                <w:sz w:val="20"/>
              </w:rPr>
              <w:t>&lt; 0,0001</w:t>
            </w:r>
          </w:p>
        </w:tc>
      </w:tr>
      <w:tr>
        <w:tc>
          <w:tcPr>
            <w:tcW w:w="3402" w:type="dxa"/>
          </w:tcPr>
          <w:p>
            <w:r>
              <w:rPr>
                <w:rFonts w:ascii="Times New Roman" w:hAnsi="Times New Roman"/>
                <w:sz w:val="20"/>
              </w:rPr>
              <w:t>Run</w:t>
            </w:r>
          </w:p>
        </w:tc>
        <w:tc>
          <w:tcPr>
            <w:tcW w:w="1134" w:type="dxa"/>
          </w:tcPr>
          <w:p>
            <w:r>
              <w:rPr>
                <w:rFonts w:ascii="Times New Roman" w:hAnsi="Times New Roman"/>
                <w:sz w:val="20"/>
              </w:rPr>
              <w:t>57,6 %</w:t>
            </w:r>
          </w:p>
        </w:tc>
        <w:tc>
          <w:tcPr>
            <w:tcW w:w="1134" w:type="dxa"/>
          </w:tcPr>
          <w:p>
            <w:r>
              <w:rPr>
                <w:rFonts w:ascii="Times New Roman" w:hAnsi="Times New Roman"/>
                <w:sz w:val="20"/>
              </w:rPr>
              <w:t>34,3 %</w:t>
            </w:r>
          </w:p>
        </w:tc>
        <w:tc>
          <w:tcPr>
            <w:tcW w:w="1134" w:type="dxa"/>
          </w:tcPr>
          <w:p>
            <w:r>
              <w:rPr>
                <w:rFonts w:ascii="Times New Roman" w:hAnsi="Times New Roman"/>
                <w:sz w:val="20"/>
              </w:rPr>
              <w:t>17,1 %</w:t>
            </w:r>
          </w:p>
        </w:tc>
        <w:tc>
          <w:tcPr>
            <w:tcW w:w="1701" w:type="dxa"/>
          </w:tcPr>
          <w:p>
            <w:r>
              <w:rPr>
                <w:rFonts w:ascii="Times New Roman" w:hAnsi="Times New Roman"/>
                <w:sz w:val="20"/>
              </w:rPr>
              <w:t>&lt; 0,0001</w:t>
            </w:r>
          </w:p>
        </w:tc>
      </w:tr>
      <w:tr>
        <w:tc>
          <w:tcPr>
            <w:tcW w:w="3402" w:type="dxa"/>
          </w:tcPr>
          <w:p>
            <w:r>
              <w:rPr>
                <w:rFonts w:ascii="Times New Roman" w:hAnsi="Times New Roman"/>
                <w:sz w:val="20"/>
              </w:rPr>
              <w:t>Khô miệng</w:t>
            </w:r>
          </w:p>
        </w:tc>
        <w:tc>
          <w:tcPr>
            <w:tcW w:w="1134" w:type="dxa"/>
          </w:tcPr>
          <w:p>
            <w:r>
              <w:rPr>
                <w:rFonts w:ascii="Times New Roman" w:hAnsi="Times New Roman"/>
                <w:sz w:val="20"/>
              </w:rPr>
              <w:t>38,4 %</w:t>
            </w:r>
          </w:p>
        </w:tc>
        <w:tc>
          <w:tcPr>
            <w:tcW w:w="1134" w:type="dxa"/>
          </w:tcPr>
          <w:p>
            <w:r>
              <w:rPr>
                <w:rFonts w:ascii="Times New Roman" w:hAnsi="Times New Roman"/>
                <w:sz w:val="20"/>
              </w:rPr>
              <w:t>25,2 %</w:t>
            </w:r>
          </w:p>
        </w:tc>
        <w:tc>
          <w:tcPr>
            <w:tcW w:w="1134" w:type="dxa"/>
          </w:tcPr>
          <w:p>
            <w:r>
              <w:rPr>
                <w:rFonts w:ascii="Times New Roman" w:hAnsi="Times New Roman"/>
                <w:sz w:val="20"/>
              </w:rPr>
              <w:t>16,2 %</w:t>
            </w:r>
          </w:p>
        </w:tc>
        <w:tc>
          <w:tcPr>
            <w:tcW w:w="1701" w:type="dxa"/>
          </w:tcPr>
          <w:p>
            <w:r>
              <w:rPr>
                <w:rFonts w:ascii="Times New Roman" w:hAnsi="Times New Roman"/>
                <w:sz w:val="20"/>
              </w:rPr>
              <w:t>&lt; 0,0001</w:t>
            </w:r>
          </w:p>
        </w:tc>
      </w:tr>
      <w:tr>
        <w:tc>
          <w:tcPr>
            <w:tcW w:w="3402" w:type="dxa"/>
          </w:tcPr>
          <w:p>
            <w:r>
              <w:rPr>
                <w:rFonts w:ascii="Times New Roman" w:hAnsi="Times New Roman"/>
                <w:sz w:val="20"/>
              </w:rPr>
              <w:t>Khó thở</w:t>
            </w:r>
          </w:p>
        </w:tc>
        <w:tc>
          <w:tcPr>
            <w:tcW w:w="1134" w:type="dxa"/>
          </w:tcPr>
          <w:p>
            <w:r>
              <w:rPr>
                <w:rFonts w:ascii="Times New Roman" w:hAnsi="Times New Roman"/>
                <w:sz w:val="20"/>
              </w:rPr>
              <w:t>56,6 %</w:t>
            </w:r>
          </w:p>
        </w:tc>
        <w:tc>
          <w:tcPr>
            <w:tcW w:w="1134" w:type="dxa"/>
          </w:tcPr>
          <w:p>
            <w:r>
              <w:rPr>
                <w:rFonts w:ascii="Times New Roman" w:hAnsi="Times New Roman"/>
                <w:sz w:val="20"/>
              </w:rPr>
              <w:t>46,4 %</w:t>
            </w:r>
          </w:p>
        </w:tc>
        <w:tc>
          <w:tcPr>
            <w:tcW w:w="1134" w:type="dxa"/>
          </w:tcPr>
          <w:p>
            <w:r>
              <w:rPr>
                <w:rFonts w:ascii="Times New Roman" w:hAnsi="Times New Roman"/>
                <w:sz w:val="20"/>
              </w:rPr>
              <w:t>25,2 %</w:t>
            </w:r>
          </w:p>
        </w:tc>
        <w:tc>
          <w:tcPr>
            <w:tcW w:w="1701" w:type="dxa"/>
          </w:tcPr>
          <w:p>
            <w:r>
              <w:rPr>
                <w:rFonts w:ascii="Times New Roman" w:hAnsi="Times New Roman"/>
                <w:sz w:val="20"/>
              </w:rPr>
              <w:t>&lt; 0,0001</w:t>
            </w:r>
          </w:p>
        </w:tc>
      </w:tr>
      <w:tr>
        <w:tc>
          <w:tcPr>
            <w:tcW w:w="3402" w:type="dxa"/>
          </w:tcPr>
          <w:p>
            <w:r>
              <w:rPr>
                <w:rFonts w:ascii="Times New Roman" w:hAnsi="Times New Roman"/>
                <w:sz w:val="20"/>
              </w:rPr>
              <w:t>Chóng mặt / không vững</w:t>
            </w:r>
          </w:p>
        </w:tc>
        <w:tc>
          <w:tcPr>
            <w:tcW w:w="1134" w:type="dxa"/>
          </w:tcPr>
          <w:p>
            <w:r>
              <w:rPr>
                <w:rFonts w:ascii="Times New Roman" w:hAnsi="Times New Roman"/>
                <w:sz w:val="20"/>
              </w:rPr>
              <w:t>66,7 %</w:t>
            </w:r>
          </w:p>
        </w:tc>
        <w:tc>
          <w:tcPr>
            <w:tcW w:w="1134" w:type="dxa"/>
          </w:tcPr>
          <w:p>
            <w:r>
              <w:rPr>
                <w:rFonts w:ascii="Times New Roman" w:hAnsi="Times New Roman"/>
                <w:sz w:val="20"/>
              </w:rPr>
              <w:t>48,4 %</w:t>
            </w:r>
          </w:p>
        </w:tc>
        <w:tc>
          <w:tcPr>
            <w:tcW w:w="1134" w:type="dxa"/>
          </w:tcPr>
          <w:p>
            <w:r>
              <w:rPr>
                <w:rFonts w:ascii="Times New Roman" w:hAnsi="Times New Roman"/>
                <w:sz w:val="20"/>
              </w:rPr>
              <w:t>32,3 %</w:t>
            </w:r>
          </w:p>
        </w:tc>
        <w:tc>
          <w:tcPr>
            <w:tcW w:w="1701" w:type="dxa"/>
          </w:tcPr>
          <w:p>
            <w:r>
              <w:rPr>
                <w:rFonts w:ascii="Times New Roman" w:hAnsi="Times New Roman"/>
                <w:sz w:val="20"/>
              </w:rPr>
              <w:t>&lt; 0,0001</w:t>
            </w:r>
          </w:p>
        </w:tc>
      </w:tr>
      <w:tr>
        <w:tc>
          <w:tcPr>
            <w:tcW w:w="3402" w:type="dxa"/>
          </w:tcPr>
          <w:p>
            <w:r>
              <w:rPr>
                <w:rFonts w:ascii="Times New Roman" w:hAnsi="Times New Roman"/>
                <w:sz w:val="20"/>
              </w:rPr>
              <w:t>Sợ mất kiềm chế</w:t>
            </w:r>
          </w:p>
        </w:tc>
        <w:tc>
          <w:tcPr>
            <w:tcW w:w="1134" w:type="dxa"/>
          </w:tcPr>
          <w:p>
            <w:r>
              <w:rPr>
                <w:rFonts w:ascii="Times New Roman" w:hAnsi="Times New Roman"/>
                <w:sz w:val="20"/>
              </w:rPr>
              <w:t>31,3 %</w:t>
            </w:r>
          </w:p>
        </w:tc>
        <w:tc>
          <w:tcPr>
            <w:tcW w:w="1134" w:type="dxa"/>
          </w:tcPr>
          <w:p>
            <w:r>
              <w:rPr>
                <w:rFonts w:ascii="Times New Roman" w:hAnsi="Times New Roman"/>
                <w:sz w:val="20"/>
              </w:rPr>
              <w:t>20,2 %</w:t>
            </w:r>
          </w:p>
        </w:tc>
        <w:tc>
          <w:tcPr>
            <w:tcW w:w="1134" w:type="dxa"/>
          </w:tcPr>
          <w:p>
            <w:r>
              <w:rPr>
                <w:rFonts w:ascii="Times New Roman" w:hAnsi="Times New Roman"/>
                <w:sz w:val="20"/>
              </w:rPr>
              <w:t>10,1 %</w:t>
            </w:r>
          </w:p>
        </w:tc>
        <w:tc>
          <w:tcPr>
            <w:tcW w:w="1701" w:type="dxa"/>
          </w:tcPr>
          <w:p>
            <w:r>
              <w:rPr>
                <w:rFonts w:ascii="Times New Roman" w:hAnsi="Times New Roman"/>
                <w:sz w:val="20"/>
              </w:rPr>
              <w:t>&lt; 0,0001</w:t>
            </w:r>
          </w:p>
        </w:tc>
      </w:tr>
      <w:tr>
        <w:tc>
          <w:tcPr>
            <w:tcW w:w="3402" w:type="dxa"/>
          </w:tcPr>
          <w:p>
            <w:r>
              <w:rPr>
                <w:rFonts w:ascii="Times New Roman" w:hAnsi="Times New Roman"/>
                <w:sz w:val="20"/>
              </w:rPr>
              <w:t>Sợ bị chết</w:t>
            </w:r>
          </w:p>
        </w:tc>
        <w:tc>
          <w:tcPr>
            <w:tcW w:w="1134" w:type="dxa"/>
          </w:tcPr>
          <w:p>
            <w:r>
              <w:rPr>
                <w:rFonts w:ascii="Times New Roman" w:hAnsi="Times New Roman"/>
                <w:sz w:val="20"/>
              </w:rPr>
              <w:t>33,3 %</w:t>
            </w:r>
          </w:p>
        </w:tc>
        <w:tc>
          <w:tcPr>
            <w:tcW w:w="1134" w:type="dxa"/>
          </w:tcPr>
          <w:p>
            <w:r>
              <w:rPr>
                <w:rFonts w:ascii="Times New Roman" w:hAnsi="Times New Roman"/>
                <w:sz w:val="20"/>
              </w:rPr>
              <w:t>19,1 %</w:t>
            </w:r>
          </w:p>
        </w:tc>
        <w:tc>
          <w:tcPr>
            <w:tcW w:w="1134" w:type="dxa"/>
          </w:tcPr>
          <w:p>
            <w:r>
              <w:rPr>
                <w:rFonts w:ascii="Times New Roman" w:hAnsi="Times New Roman"/>
                <w:sz w:val="20"/>
              </w:rPr>
              <w:t>9,1 %</w:t>
            </w:r>
          </w:p>
        </w:tc>
        <w:tc>
          <w:tcPr>
            <w:tcW w:w="1701" w:type="dxa"/>
          </w:tcPr>
          <w:p>
            <w:r>
              <w:rPr>
                <w:rFonts w:ascii="Times New Roman" w:hAnsi="Times New Roman"/>
                <w:sz w:val="20"/>
              </w:rPr>
              <w:t>&lt; 0,0001</w:t>
            </w:r>
          </w:p>
        </w:tc>
      </w:tr>
      <w:tr>
        <w:tc>
          <w:tcPr>
            <w:tcW w:w="3402" w:type="dxa"/>
          </w:tcPr>
          <w:p>
            <w:r>
              <w:rPr>
                <w:rFonts w:ascii="Times New Roman" w:hAnsi="Times New Roman"/>
                <w:sz w:val="20"/>
              </w:rPr>
              <w:t>Dễ giật mình</w:t>
            </w:r>
          </w:p>
        </w:tc>
        <w:tc>
          <w:tcPr>
            <w:tcW w:w="1134" w:type="dxa"/>
          </w:tcPr>
          <w:p>
            <w:r>
              <w:rPr>
                <w:rFonts w:ascii="Times New Roman" w:hAnsi="Times New Roman"/>
                <w:sz w:val="20"/>
              </w:rPr>
              <w:t>61,6 %</w:t>
            </w:r>
          </w:p>
        </w:tc>
        <w:tc>
          <w:tcPr>
            <w:tcW w:w="1134" w:type="dxa"/>
          </w:tcPr>
          <w:p>
            <w:r>
              <w:rPr>
                <w:rFonts w:ascii="Times New Roman" w:hAnsi="Times New Roman"/>
                <w:sz w:val="20"/>
              </w:rPr>
              <w:t>28,2 %</w:t>
            </w:r>
          </w:p>
        </w:tc>
        <w:tc>
          <w:tcPr>
            <w:tcW w:w="1134" w:type="dxa"/>
          </w:tcPr>
          <w:p>
            <w:r>
              <w:rPr>
                <w:rFonts w:ascii="Times New Roman" w:hAnsi="Times New Roman"/>
                <w:sz w:val="20"/>
              </w:rPr>
              <w:t>13,1 %</w:t>
            </w:r>
          </w:p>
        </w:tc>
        <w:tc>
          <w:tcPr>
            <w:tcW w:w="1701" w:type="dxa"/>
          </w:tcPr>
          <w:p>
            <w:r>
              <w:rPr>
                <w:rFonts w:ascii="Times New Roman" w:hAnsi="Times New Roman"/>
                <w:sz w:val="20"/>
              </w:rPr>
              <w:t>&lt; 0,0001</w:t>
            </w:r>
          </w:p>
        </w:tc>
      </w:tr>
      <w:tr>
        <w:tc>
          <w:tcPr>
            <w:tcW w:w="3402" w:type="dxa"/>
          </w:tcPr>
          <w:p>
            <w:r>
              <w:rPr>
                <w:rFonts w:ascii="Times New Roman" w:hAnsi="Times New Roman"/>
                <w:sz w:val="20"/>
              </w:rPr>
              <w:t>Khó tập trung</w:t>
            </w:r>
          </w:p>
        </w:tc>
        <w:tc>
          <w:tcPr>
            <w:tcW w:w="1134" w:type="dxa"/>
          </w:tcPr>
          <w:p>
            <w:r>
              <w:rPr>
                <w:rFonts w:ascii="Times New Roman" w:hAnsi="Times New Roman"/>
                <w:sz w:val="20"/>
              </w:rPr>
              <w:t>65,7 %</w:t>
            </w:r>
          </w:p>
        </w:tc>
        <w:tc>
          <w:tcPr>
            <w:tcW w:w="1134" w:type="dxa"/>
          </w:tcPr>
          <w:p>
            <w:r>
              <w:rPr>
                <w:rFonts w:ascii="Times New Roman" w:hAnsi="Times New Roman"/>
                <w:sz w:val="20"/>
              </w:rPr>
              <w:t>29,2 %</w:t>
            </w:r>
          </w:p>
        </w:tc>
        <w:tc>
          <w:tcPr>
            <w:tcW w:w="1134" w:type="dxa"/>
          </w:tcPr>
          <w:p>
            <w:r>
              <w:rPr>
                <w:rFonts w:ascii="Times New Roman" w:hAnsi="Times New Roman"/>
                <w:sz w:val="20"/>
              </w:rPr>
              <w:t>11,1 %</w:t>
            </w:r>
          </w:p>
        </w:tc>
        <w:tc>
          <w:tcPr>
            <w:tcW w:w="1701" w:type="dxa"/>
          </w:tcPr>
          <w:p>
            <w:r>
              <w:rPr>
                <w:rFonts w:ascii="Times New Roman" w:hAnsi="Times New Roman"/>
                <w:sz w:val="20"/>
              </w:rPr>
              <w:t>&lt; 0,0001</w:t>
            </w:r>
          </w:p>
        </w:tc>
      </w:tr>
    </w:tbl>
    <w:p>
      <w:r>
        <w:rPr>
          <w:rFonts w:ascii="Times New Roman" w:hAnsi="Times New Roman"/>
          <w:b w:val="0"/>
          <w:i/>
          <w:sz w:val="20"/>
        </w:rPr>
        <w:t>Bảng 2. Thuyên giảm 10 triệu chứng tiêu biểu sau 4 tuần điều trị (n = 99). Nguồn: Trần Nguyễn Ngọc 2018, Bảng 3.23 tr. 78, Bảng 3.26 tr. 80, Bảng 3.28 tr. 81.</w:t>
      </w:r>
    </w:p>
    <w:p>
      <w:pPr>
        <w:jc w:val="center"/>
      </w:pPr>
      <w:r>
        <w:drawing>
          <wp:inline xmlns:a="http://schemas.openxmlformats.org/drawingml/2006/main" xmlns:pic="http://schemas.openxmlformats.org/drawingml/2006/picture">
            <wp:extent cx="5580000" cy="3093944"/>
            <wp:docPr id="3" name="Picture 3"/>
            <wp:cNvGraphicFramePr>
              <a:graphicFrameLocks noChangeAspect="1"/>
            </wp:cNvGraphicFramePr>
            <a:graphic>
              <a:graphicData uri="http://schemas.openxmlformats.org/drawingml/2006/picture">
                <pic:pic>
                  <pic:nvPicPr>
                    <pic:cNvPr id="0" name="chart2_TKTV_TranNguyenNgoc.png"/>
                    <pic:cNvPicPr/>
                  </pic:nvPicPr>
                  <pic:blipFill>
                    <a:blip r:embed="rId11"/>
                    <a:stretch>
                      <a:fillRect/>
                    </a:stretch>
                  </pic:blipFill>
                  <pic:spPr>
                    <a:xfrm>
                      <a:off x="0" y="0"/>
                      <a:ext cx="5580000" cy="3093944"/>
                    </a:xfrm>
                    <a:prstGeom prst="rect"/>
                  </pic:spPr>
                </pic:pic>
              </a:graphicData>
            </a:graphic>
          </wp:inline>
        </w:drawing>
      </w:r>
    </w:p>
    <w:p>
      <w:pPr>
        <w:jc w:val="both"/>
      </w:pPr>
      <w:r>
        <w:rPr>
          <w:rFonts w:ascii="Times New Roman" w:hAnsi="Times New Roman"/>
          <w:b w:val="0"/>
          <w:i w:val="0"/>
          <w:sz w:val="24"/>
        </w:rPr>
        <w:t>Trên thang đánh giá tổng thể bệnh trạng CGI (Bảng 3.29 tr. 82), tỷ lệ bệnh nhân ở mức NẶNG / RẤT NẶNG giảm từ 52,5 % (T0) xuống 13,1 % (T2) và còn 9,1 % (T4) — giảm gần 6 lần. Cùng lúc, tỷ lệ ở mức NHẸ tăng từ 0 % (T0) lên 17,1 % (T2) và 59,6 % (T4). Tất cả các so sánh đều có p &lt; 0,0001.</w:t>
      </w:r>
    </w:p>
    <w:p>
      <w:pPr>
        <w:pStyle w:val="Heading3"/>
      </w:pPr>
      <w:r>
        <w:rPr>
          <w:rFonts w:ascii="Times New Roman" w:hAnsi="Times New Roman"/>
          <w:color w:val="000000"/>
        </w:rPr>
        <w:t>1.1.4. Đặc điểm lâm sàng đáng chú ý (n = 170)</w:t>
      </w:r>
    </w:p>
    <w:p>
      <w:pPr>
        <w:jc w:val="both"/>
      </w:pPr>
      <w:r>
        <w:rPr>
          <w:rFonts w:ascii="Times New Roman" w:hAnsi="Times New Roman"/>
          <w:b w:val="0"/>
          <w:i w:val="0"/>
          <w:sz w:val="24"/>
        </w:rPr>
        <w:t>Phân tích mẫu mô tả của Trần Nguyễn Ngọc (2018, tr. 62–75) cho thấy nhiều đặc điểm có ý nghĩa thực hành lâm sàng:</w:t>
      </w:r>
    </w:p>
    <w:p>
      <w:pPr>
        <w:jc w:val="both"/>
      </w:pPr>
      <w:r>
        <w:rPr>
          <w:rFonts w:ascii="Times New Roman" w:hAnsi="Times New Roman"/>
          <w:b w:val="0"/>
          <w:i w:val="0"/>
          <w:sz w:val="24"/>
        </w:rPr>
        <w:t>• 45,3 % bệnh nhân có sang chấn tâm lý — trong đó 32,4 % là sang chấn trường diễn (Bảng 3.8, tr. 65). Sang chấn gia đình chiếm 33,5 %, tai nạn / bệnh tật 27,1 %.</w:t>
      </w:r>
    </w:p>
    <w:p>
      <w:pPr>
        <w:jc w:val="both"/>
      </w:pPr>
      <w:r>
        <w:rPr>
          <w:rFonts w:ascii="Times New Roman" w:hAnsi="Times New Roman"/>
          <w:b w:val="0"/>
          <w:i w:val="0"/>
          <w:sz w:val="24"/>
        </w:rPr>
        <w:t>• 12,4 % bệnh nhân có TRẦM CẢM kèm theo, với chênh lệch giới rõ rệt (nữ 15,2 % so với nam 7,7 %, Bảng 3.9 tr. 66).</w:t>
      </w:r>
    </w:p>
    <w:p>
      <w:pPr>
        <w:jc w:val="both"/>
      </w:pPr>
      <w:r>
        <w:rPr>
          <w:rFonts w:ascii="Times New Roman" w:hAnsi="Times New Roman"/>
          <w:b w:val="0"/>
          <w:i w:val="0"/>
          <w:sz w:val="24"/>
        </w:rPr>
        <w:t>• Sử dụng chất cộng đồng nam – nữ rất khác biệt: nam dùng thuốc lá 67,7 % và rượu 44,6 %, trong khi nữ chỉ 1,9 % cho cả hai (Bảng 3.9 tr. 66).</w:t>
      </w:r>
    </w:p>
    <w:p>
      <w:pPr>
        <w:jc w:val="both"/>
      </w:pPr>
      <w:r>
        <w:rPr>
          <w:rFonts w:ascii="Times New Roman" w:hAnsi="Times New Roman"/>
          <w:b w:val="0"/>
          <w:i w:val="0"/>
          <w:sz w:val="24"/>
        </w:rPr>
        <w:t>• Theo Montgomery (2010, được Trần Nguyễn Ngọc 2018 trích dẫn ở tr. 1), chỉ khoảng 13,3 % bệnh nhân RLLA đến khám VÌ triệu chứng lo âu — phần lớn đến vì các triệu chứng cơ thể, dẫn đến chẩn đoán muộn và chuyển khoa nhiều lần.</w:t>
      </w:r>
    </w:p>
    <w:p>
      <w:pPr>
        <w:pStyle w:val="Heading3"/>
      </w:pPr>
      <w:r>
        <w:rPr>
          <w:rFonts w:ascii="Times New Roman" w:hAnsi="Times New Roman"/>
          <w:color w:val="000000"/>
        </w:rPr>
        <w:t>1.1.5. Quan điểm phản biện</w:t>
      </w:r>
    </w:p>
    <w:p>
      <w:r>
        <w:rPr>
          <w:rFonts w:ascii="Times New Roman" w:hAnsi="Times New Roman"/>
          <w:b/>
          <w:i w:val="0"/>
          <w:sz w:val="24"/>
        </w:rPr>
        <w:t>Điểm mạnh:</w:t>
      </w:r>
    </w:p>
    <w:p>
      <w:pPr>
        <w:jc w:val="both"/>
      </w:pPr>
      <w:r>
        <w:rPr>
          <w:rFonts w:ascii="Times New Roman" w:hAnsi="Times New Roman"/>
          <w:b w:val="0"/>
          <w:i w:val="0"/>
          <w:sz w:val="24"/>
        </w:rPr>
        <w:t>• Đây là LUẬN ÁN ĐẦU TIÊN tại Việt Nam đánh giá hiệu quả liệu pháp Thư giãn – Luyện tập cho RLLA tổng quát (lời cam đoan của tác giả ở tr. 3: "Công trình này không trùng lặp với bất kỳ nghiên cứu nào khác đã được công bố tại Việt Nam").</w:t>
      </w:r>
    </w:p>
    <w:p>
      <w:pPr>
        <w:jc w:val="both"/>
      </w:pPr>
      <w:r>
        <w:rPr>
          <w:rFonts w:ascii="Times New Roman" w:hAnsi="Times New Roman"/>
          <w:b w:val="0"/>
          <w:i w:val="0"/>
          <w:sz w:val="24"/>
        </w:rPr>
        <w:t>• Cỡ mẫu lớn cho mô tả lâm sàng (n = 170) và đủ cho can thiệp trước–sau (n = 99), tính theo công thức dựa trên Naomi Breslau với độ chính xác Δ = 6,5 và α = 0,05 (tr. 43).</w:t>
      </w:r>
    </w:p>
    <w:p>
      <w:pPr>
        <w:jc w:val="both"/>
      </w:pPr>
      <w:r>
        <w:rPr>
          <w:rFonts w:ascii="Times New Roman" w:hAnsi="Times New Roman"/>
          <w:b w:val="0"/>
          <w:i w:val="0"/>
          <w:sz w:val="24"/>
        </w:rPr>
        <w:t>• Quy trình chuẩn 20 buổi có giám sát đa chuyên ngành (bác sĩ, cán bộ tâm lý, điều dưỡng), thực hiện tại cơ sở chuyên khoa, đảm bảo tuân thủ.</w:t>
      </w:r>
    </w:p>
    <w:p>
      <w:pPr>
        <w:jc w:val="both"/>
      </w:pPr>
      <w:r>
        <w:rPr>
          <w:rFonts w:ascii="Times New Roman" w:hAnsi="Times New Roman"/>
          <w:b w:val="0"/>
          <w:i w:val="0"/>
          <w:sz w:val="24"/>
        </w:rPr>
        <w:t>• Hiệu quả có ý nghĩa thống kê mạnh (p &lt; 0,0001) trên CẢ HAM-A tổng và 22 triệu chứng riêng lẻ.</w:t>
      </w:r>
    </w:p>
    <w:p>
      <w:pPr>
        <w:jc w:val="both"/>
      </w:pPr>
      <w:r>
        <w:rPr>
          <w:rFonts w:ascii="Times New Roman" w:hAnsi="Times New Roman"/>
          <w:b w:val="0"/>
          <w:i w:val="0"/>
          <w:sz w:val="24"/>
        </w:rPr>
        <w:t>• Loại trừ thuốc — đánh giá thuần liệu pháp tâm lý – thể chất, giúp xác định hiệu lực "net" của bản thân liệu pháp và tăng khả năng nhân rộng tại các cơ sở y tế tuyến cơ sở.</w:t>
      </w:r>
    </w:p>
    <w:p>
      <w:pPr>
        <w:jc w:val="both"/>
      </w:pPr>
      <w:r>
        <w:rPr>
          <w:rFonts w:ascii="Times New Roman" w:hAnsi="Times New Roman"/>
          <w:b w:val="0"/>
          <w:i w:val="0"/>
          <w:sz w:val="24"/>
        </w:rPr>
        <w:t>• Kỹ thuật rẻ tiền, đơn giản, dễ thực hiện — phù hợp triển khai tại trường học, trạm y tế xã, hoặc cộng đồng.</w:t>
      </w:r>
    </w:p>
    <w:p>
      <w:r>
        <w:rPr>
          <w:rFonts w:ascii="Times New Roman" w:hAnsi="Times New Roman"/>
          <w:b/>
          <w:i w:val="0"/>
          <w:color w:val="CC0000"/>
          <w:sz w:val="24"/>
        </w:rPr>
        <w:t>Hạn chế nghiêm trọng cho mục đích áp dụng cho VTN:</w:t>
      </w:r>
    </w:p>
    <w:p>
      <w:pPr>
        <w:jc w:val="both"/>
      </w:pPr>
      <w:r>
        <w:rPr>
          <w:rFonts w:ascii="Times New Roman" w:hAnsi="Times New Roman"/>
          <w:b w:val="0"/>
          <w:i w:val="0"/>
          <w:sz w:val="24"/>
        </w:rPr>
        <w:t>• ĐỐI TƯỢNG NGƯỜI LỚN — tuổi trung bình 43,2 ± 13,6 (Bảng 3.1 tr. 57). Không thể ngoại suy trực tiếp cho học sinh THCS / THPT do khác biệt phát triển não bộ, môi trường tâm lý xã hội, và kỹ năng nhận thức – cảm xúc.</w:t>
      </w:r>
    </w:p>
    <w:p>
      <w:pPr>
        <w:jc w:val="both"/>
      </w:pPr>
      <w:r>
        <w:rPr>
          <w:rFonts w:ascii="Times New Roman" w:hAnsi="Times New Roman"/>
          <w:b w:val="0"/>
          <w:i w:val="0"/>
          <w:sz w:val="24"/>
        </w:rPr>
        <w:t>• THIẾT KẾ TRƯỚC – SAU KHÔNG ĐỐI CHỨNG — không phải RCT. Không thể loại trừ hiệu ứng giả dược, hồi quy về trung bình, và hiệu ứng Hawthorne (cải thiện do được chú ý chứ không phải do liệu pháp).</w:t>
      </w:r>
    </w:p>
    <w:p>
      <w:pPr>
        <w:jc w:val="both"/>
      </w:pPr>
      <w:r>
        <w:rPr>
          <w:rFonts w:ascii="Times New Roman" w:hAnsi="Times New Roman"/>
          <w:b w:val="0"/>
          <w:i w:val="0"/>
          <w:sz w:val="24"/>
        </w:rPr>
        <w:t>• Mẫu chỉ tại Bệnh viện Bạch Mai (nội trú) — chọn lọc mạnh: bệnh nhân thường nặng, có động lực điều trị cao, tuân thủ tốt. Không đại diện bệnh nhân RLLA cộng đồng.</w:t>
      </w:r>
    </w:p>
    <w:p>
      <w:pPr>
        <w:jc w:val="both"/>
      </w:pPr>
      <w:r>
        <w:rPr>
          <w:rFonts w:ascii="Times New Roman" w:hAnsi="Times New Roman"/>
          <w:b w:val="0"/>
          <w:i w:val="0"/>
          <w:sz w:val="24"/>
        </w:rPr>
        <w:t>• Theo dõi chỉ 4 tuần — không đánh giá hiệu quả dài hạn 3 tháng, 6 tháng, 1 năm. So với chuẩn hiện đại (như Zhang, Liang &amp; Kang 2026 đo tới 1 năm), thời gian theo dõi quá ngắn.</w:t>
      </w:r>
    </w:p>
    <w:p>
      <w:pPr>
        <w:jc w:val="both"/>
      </w:pPr>
      <w:r>
        <w:rPr>
          <w:rFonts w:ascii="Times New Roman" w:hAnsi="Times New Roman"/>
          <w:b w:val="0"/>
          <w:i w:val="0"/>
          <w:sz w:val="24"/>
        </w:rPr>
        <w:t>• Không có nhóm đối chứng (chờ đợi / thuốc / CBT) — không thể so sánh hiệu lực với các phương pháp khác.</w:t>
      </w:r>
    </w:p>
    <w:p>
      <w:pPr>
        <w:jc w:val="both"/>
      </w:pPr>
      <w:r>
        <w:rPr>
          <w:rFonts w:ascii="Times New Roman" w:hAnsi="Times New Roman"/>
          <w:b w:val="0"/>
          <w:i w:val="0"/>
          <w:sz w:val="24"/>
        </w:rPr>
        <w:t>• Tỷ lệ rút khỏi nghiên cứu 41,8 % (170 → 99) — RẤT CAO. Có thể có thiên lệch người sống sót (survivor bias) vì chỉ những bệnh nhân đáp ứng tốt mới hoàn thành đủ 20 buổi.</w:t>
      </w:r>
    </w:p>
    <w:p>
      <w:pPr>
        <w:pStyle w:val="Heading3"/>
      </w:pPr>
      <w:r>
        <w:rPr>
          <w:rFonts w:ascii="Times New Roman" w:hAnsi="Times New Roman"/>
          <w:color w:val="000000"/>
        </w:rPr>
        <w:t>1.1.6. Áp dụng cho đề cương VTN Việt Nam</w:t>
      </w:r>
    </w:p>
    <w:p>
      <w:pPr>
        <w:jc w:val="both"/>
      </w:pPr>
      <w:r>
        <w:rPr>
          <w:rFonts w:ascii="Times New Roman" w:hAnsi="Times New Roman"/>
          <w:b/>
          <w:i w:val="0"/>
          <w:sz w:val="24"/>
        </w:rPr>
        <w:t>Mặc dù đối tượng không phải VTN, luận án Trần Nguyễn Ngọc (2018) cung cấp ba bài học quý cho thiết kế can thiệp Việt Nam:</w:t>
      </w:r>
    </w:p>
    <w:p>
      <w:pPr>
        <w:jc w:val="both"/>
      </w:pPr>
      <w:r>
        <w:rPr>
          <w:rFonts w:ascii="Times New Roman" w:hAnsi="Times New Roman"/>
          <w:b w:val="0"/>
          <w:i w:val="0"/>
          <w:sz w:val="24"/>
        </w:rPr>
        <w:t>Một là, liệu pháp Thư giãn – Luyện tập có thể là MODULE BỔ TRỢ cho can thiệp CBT trường học (giai đoạn 2 đề cương) — phù hợp với Li et al. (2025, BMC Psychiatry 25:809) cho thấy PE (hoạt động thể chất) đứng SUCRA 0,51 (Bảng kết quả NMA tr. 6) và Cao et al. (2025, Frontiers in Psychiatry 16:1594658) cho thấy can thiệp resilience tại trường có hiệu quả nhỏ đến trung bình.</w:t>
      </w:r>
    </w:p>
    <w:p>
      <w:pPr>
        <w:jc w:val="both"/>
      </w:pPr>
      <w:r>
        <w:rPr>
          <w:rFonts w:ascii="Times New Roman" w:hAnsi="Times New Roman"/>
          <w:b w:val="0"/>
          <w:i w:val="0"/>
          <w:sz w:val="24"/>
        </w:rPr>
        <w:t>Hai là, cần ADAPTATION cho VTN: thời gian buổi ngắn hơn (30–45 phút), nội dung trẻ hơn (âm nhạc, trò chơi), kết hợp peer learning để tăng engagement. Cần thiết kế RCT có đối chứng để cung cấp bằng chứng vững chắc.</w:t>
      </w:r>
    </w:p>
    <w:p>
      <w:pPr>
        <w:jc w:val="both"/>
      </w:pPr>
      <w:r>
        <w:rPr>
          <w:rFonts w:ascii="Times New Roman" w:hAnsi="Times New Roman"/>
          <w:b w:val="0"/>
          <w:i w:val="0"/>
          <w:sz w:val="24"/>
        </w:rPr>
        <w:t>Ba là, KHOẢNG TRỐNG SỐ 1 của lĩnh vực được xác định rõ: Việt Nam cần luận án / RCT đầu tiên về can thiệp tâm lý cho VTN có RLLA — đối tượng học sinh THCS / THPT chưa được nghiên cứu can thiệp. Đây chính là trọng tâm của đề cương dự án.</w:t>
      </w:r>
    </w:p>
    <w:p>
      <w:r>
        <w:br w:type="page"/>
      </w:r>
    </w:p>
    <w:p>
      <w:pPr>
        <w:pStyle w:val="Heading1"/>
      </w:pPr>
      <w:r>
        <w:rPr>
          <w:rFonts w:ascii="Times New Roman" w:hAnsi="Times New Roman"/>
          <w:color w:val="000000"/>
        </w:rPr>
        <w:t>PHẦN II — CHÂU Á (ngoài Việt Nam)</w:t>
      </w:r>
    </w:p>
    <w:p>
      <w:pPr>
        <w:jc w:val="both"/>
      </w:pPr>
      <w:r>
        <w:rPr>
          <w:rFonts w:ascii="Times New Roman" w:hAnsi="Times New Roman"/>
          <w:b w:val="0"/>
          <w:i/>
          <w:sz w:val="24"/>
        </w:rPr>
        <w:t>Phần này tổng hợp 7 công trình từ Trung Quốc, Nhật Bản, Sri Lanka, các nước Đông Nam Á, và scoping review LMIC khu vực Đông Á – Thái Bình Dương. Đây là vùng có tính tương đồng văn hoá cao nhất với Việt Nam (Á Đông, gia đình mở rộng, áp lực học tập, kỳ thị bệnh tâm thần), do đó có giá trị tham chiếu trực tiếp cho thiết kế đề cương Việt Nam.</w:t>
      </w:r>
    </w:p>
    <w:p>
      <w:pPr>
        <w:pStyle w:val="Heading2"/>
      </w:pPr>
      <w:r>
        <w:rPr>
          <w:rFonts w:ascii="Times New Roman" w:hAnsi="Times New Roman"/>
          <w:color w:val="000000"/>
        </w:rPr>
        <w:t>2.1. Tổng quan 7 nghiên cứu can thiệp Châu Á</w:t>
      </w:r>
    </w:p>
    <w:tbl>
      <w:tblPr>
        <w:tblStyle w:val="TableGrid"/>
        <w:tblW w:type="auto" w:w="0"/>
        <w:jc w:val="center"/>
        <w:tblLook w:firstColumn="1" w:firstRow="1" w:lastColumn="0" w:lastRow="0" w:noHBand="0" w:noVBand="1" w:val="04A0"/>
        <w:tblLayout w:type="fixed"/>
      </w:tblPr>
      <w:tblGrid>
        <w:gridCol w:w="453"/>
        <w:gridCol w:w="1701"/>
        <w:gridCol w:w="963"/>
        <w:gridCol w:w="1304"/>
        <w:gridCol w:w="1814"/>
        <w:gridCol w:w="2551"/>
      </w:tblGrid>
      <w:tr>
        <w:tc>
          <w:tcPr>
            <w:tcW w:w="453" w:type="dxa"/>
            <w:shd w:fill="D9E2F3" w:val="clear"/>
          </w:tcPr>
          <w:p>
            <w:pPr>
              <w:jc w:val="center"/>
            </w:pPr>
            <w:r>
              <w:rPr>
                <w:rFonts w:ascii="Times New Roman" w:hAnsi="Times New Roman"/>
                <w:b/>
                <w:sz w:val="20"/>
              </w:rPr>
              <w:t>#</w:t>
            </w:r>
          </w:p>
        </w:tc>
        <w:tc>
          <w:tcPr>
            <w:tcW w:w="1701" w:type="dxa"/>
            <w:shd w:fill="D9E2F3" w:val="clear"/>
          </w:tcPr>
          <w:p>
            <w:pPr>
              <w:jc w:val="center"/>
            </w:pPr>
            <w:r>
              <w:rPr>
                <w:rFonts w:ascii="Times New Roman" w:hAnsi="Times New Roman"/>
                <w:b/>
                <w:sz w:val="20"/>
              </w:rPr>
              <w:t>Tác giả / Năm</w:t>
            </w:r>
          </w:p>
        </w:tc>
        <w:tc>
          <w:tcPr>
            <w:tcW w:w="963" w:type="dxa"/>
            <w:shd w:fill="D9E2F3" w:val="clear"/>
          </w:tcPr>
          <w:p>
            <w:pPr>
              <w:jc w:val="center"/>
            </w:pPr>
            <w:r>
              <w:rPr>
                <w:rFonts w:ascii="Times New Roman" w:hAnsi="Times New Roman"/>
                <w:b/>
                <w:sz w:val="20"/>
              </w:rPr>
              <w:t>Quốc gia</w:t>
            </w:r>
          </w:p>
        </w:tc>
        <w:tc>
          <w:tcPr>
            <w:tcW w:w="1304" w:type="dxa"/>
            <w:shd w:fill="D9E2F3" w:val="clear"/>
          </w:tcPr>
          <w:p>
            <w:pPr>
              <w:jc w:val="center"/>
            </w:pPr>
            <w:r>
              <w:rPr>
                <w:rFonts w:ascii="Times New Roman" w:hAnsi="Times New Roman"/>
                <w:b/>
                <w:sz w:val="20"/>
              </w:rPr>
              <w:t>Loại nghiên cứu</w:t>
            </w:r>
          </w:p>
        </w:tc>
        <w:tc>
          <w:tcPr>
            <w:tcW w:w="1814" w:type="dxa"/>
            <w:shd w:fill="D9E2F3" w:val="clear"/>
          </w:tcPr>
          <w:p>
            <w:pPr>
              <w:jc w:val="center"/>
            </w:pPr>
            <w:r>
              <w:rPr>
                <w:rFonts w:ascii="Times New Roman" w:hAnsi="Times New Roman"/>
                <w:b/>
                <w:sz w:val="20"/>
              </w:rPr>
              <w:t>Đối tượng / Cỡ mẫu</w:t>
            </w:r>
          </w:p>
        </w:tc>
        <w:tc>
          <w:tcPr>
            <w:tcW w:w="2551" w:type="dxa"/>
            <w:shd w:fill="D9E2F3" w:val="clear"/>
          </w:tcPr>
          <w:p>
            <w:pPr>
              <w:jc w:val="center"/>
            </w:pPr>
            <w:r>
              <w:rPr>
                <w:rFonts w:ascii="Times New Roman" w:hAnsi="Times New Roman"/>
                <w:b/>
                <w:sz w:val="20"/>
              </w:rPr>
              <w:t>Phát hiện then chốt</w:t>
            </w:r>
          </w:p>
        </w:tc>
      </w:tr>
      <w:tr>
        <w:tc>
          <w:tcPr>
            <w:tcW w:w="453" w:type="dxa"/>
          </w:tcPr>
          <w:p>
            <w:r>
              <w:rPr>
                <w:rFonts w:ascii="Times New Roman" w:hAnsi="Times New Roman"/>
                <w:sz w:val="20"/>
              </w:rPr>
              <w:t>41</w:t>
            </w:r>
          </w:p>
        </w:tc>
        <w:tc>
          <w:tcPr>
            <w:tcW w:w="1701" w:type="dxa"/>
          </w:tcPr>
          <w:p>
            <w:r>
              <w:rPr>
                <w:rFonts w:ascii="Times New Roman" w:hAnsi="Times New Roman"/>
                <w:sz w:val="20"/>
              </w:rPr>
              <w:t>Praptomojati &amp; Hartanto 2024</w:t>
            </w:r>
          </w:p>
        </w:tc>
        <w:tc>
          <w:tcPr>
            <w:tcW w:w="963" w:type="dxa"/>
          </w:tcPr>
          <w:p>
            <w:r>
              <w:rPr>
                <w:rFonts w:ascii="Times New Roman" w:hAnsi="Times New Roman"/>
                <w:sz w:val="20"/>
              </w:rPr>
              <w:t>Tổng hợp ĐNA</w:t>
            </w:r>
          </w:p>
        </w:tc>
        <w:tc>
          <w:tcPr>
            <w:tcW w:w="1304" w:type="dxa"/>
          </w:tcPr>
          <w:p>
            <w:r>
              <w:rPr>
                <w:rFonts w:ascii="Times New Roman" w:hAnsi="Times New Roman"/>
                <w:sz w:val="20"/>
              </w:rPr>
              <w:t>SR 7 NC</w:t>
            </w:r>
          </w:p>
        </w:tc>
        <w:tc>
          <w:tcPr>
            <w:tcW w:w="1814" w:type="dxa"/>
          </w:tcPr>
          <w:p>
            <w:r>
              <w:rPr>
                <w:rFonts w:ascii="Times New Roman" w:hAnsi="Times New Roman"/>
                <w:sz w:val="20"/>
              </w:rPr>
              <w:t>Trẻ + VTN</w:t>
            </w:r>
          </w:p>
        </w:tc>
        <w:tc>
          <w:tcPr>
            <w:tcW w:w="2551" w:type="dxa"/>
          </w:tcPr>
          <w:p>
            <w:r>
              <w:rPr>
                <w:rFonts w:ascii="Times New Roman" w:hAnsi="Times New Roman"/>
                <w:sz w:val="20"/>
              </w:rPr>
              <w:t>CA-CBT thích ứng văn hoá; 0/7 NC từ VN</w:t>
            </w:r>
          </w:p>
        </w:tc>
      </w:tr>
      <w:tr>
        <w:tc>
          <w:tcPr>
            <w:tcW w:w="453" w:type="dxa"/>
          </w:tcPr>
          <w:p>
            <w:r>
              <w:rPr>
                <w:rFonts w:ascii="Times New Roman" w:hAnsi="Times New Roman"/>
                <w:sz w:val="20"/>
              </w:rPr>
              <w:t>42</w:t>
            </w:r>
          </w:p>
        </w:tc>
        <w:tc>
          <w:tcPr>
            <w:tcW w:w="1701" w:type="dxa"/>
          </w:tcPr>
          <w:p>
            <w:r>
              <w:rPr>
                <w:rFonts w:ascii="Times New Roman" w:hAnsi="Times New Roman"/>
                <w:sz w:val="20"/>
              </w:rPr>
              <w:t>De Silva et al. 2024</w:t>
            </w:r>
          </w:p>
        </w:tc>
        <w:tc>
          <w:tcPr>
            <w:tcW w:w="963" w:type="dxa"/>
          </w:tcPr>
          <w:p>
            <w:r>
              <w:rPr>
                <w:rFonts w:ascii="Times New Roman" w:hAnsi="Times New Roman"/>
                <w:sz w:val="20"/>
              </w:rPr>
              <w:t>Sri Lanka</w:t>
            </w:r>
          </w:p>
        </w:tc>
        <w:tc>
          <w:tcPr>
            <w:tcW w:w="1304" w:type="dxa"/>
          </w:tcPr>
          <w:p>
            <w:r>
              <w:rPr>
                <w:rFonts w:ascii="Times New Roman" w:hAnsi="Times New Roman"/>
                <w:sz w:val="20"/>
              </w:rPr>
              <w:t>Cluster RCT</w:t>
            </w:r>
          </w:p>
        </w:tc>
        <w:tc>
          <w:tcPr>
            <w:tcW w:w="1814" w:type="dxa"/>
          </w:tcPr>
          <w:p>
            <w:r>
              <w:rPr>
                <w:rFonts w:ascii="Times New Roman" w:hAnsi="Times New Roman"/>
                <w:sz w:val="20"/>
              </w:rPr>
              <w:t>720 HS lớp 9 / 36 trường</w:t>
            </w:r>
          </w:p>
        </w:tc>
        <w:tc>
          <w:tcPr>
            <w:tcW w:w="2551" w:type="dxa"/>
          </w:tcPr>
          <w:p>
            <w:r>
              <w:rPr>
                <w:rFonts w:ascii="Times New Roman" w:hAnsi="Times New Roman"/>
                <w:sz w:val="20"/>
              </w:rPr>
              <w:t>CBT do GV dạy; β = −0,096; p = 0,038</w:t>
            </w:r>
          </w:p>
        </w:tc>
      </w:tr>
      <w:tr>
        <w:tc>
          <w:tcPr>
            <w:tcW w:w="453" w:type="dxa"/>
          </w:tcPr>
          <w:p>
            <w:r>
              <w:rPr>
                <w:rFonts w:ascii="Times New Roman" w:hAnsi="Times New Roman"/>
                <w:sz w:val="20"/>
              </w:rPr>
              <w:t>43</w:t>
            </w:r>
          </w:p>
        </w:tc>
        <w:tc>
          <w:tcPr>
            <w:tcW w:w="1701" w:type="dxa"/>
          </w:tcPr>
          <w:p>
            <w:r>
              <w:rPr>
                <w:rFonts w:ascii="Times New Roman" w:hAnsi="Times New Roman"/>
                <w:sz w:val="20"/>
              </w:rPr>
              <w:t>Xian, Zhang &amp; Jiang 2024</w:t>
            </w:r>
          </w:p>
        </w:tc>
        <w:tc>
          <w:tcPr>
            <w:tcW w:w="963" w:type="dxa"/>
          </w:tcPr>
          <w:p>
            <w:r>
              <w:rPr>
                <w:rFonts w:ascii="Times New Roman" w:hAnsi="Times New Roman"/>
                <w:sz w:val="20"/>
              </w:rPr>
              <w:t>Trung Quốc</w:t>
            </w:r>
          </w:p>
        </w:tc>
        <w:tc>
          <w:tcPr>
            <w:tcW w:w="1304" w:type="dxa"/>
          </w:tcPr>
          <w:p>
            <w:r>
              <w:rPr>
                <w:rFonts w:ascii="Times New Roman" w:hAnsi="Times New Roman"/>
                <w:sz w:val="20"/>
              </w:rPr>
              <w:t>NMA Bayesian</w:t>
            </w:r>
          </w:p>
        </w:tc>
        <w:tc>
          <w:tcPr>
            <w:tcW w:w="1814" w:type="dxa"/>
          </w:tcPr>
          <w:p>
            <w:r>
              <w:rPr>
                <w:rFonts w:ascii="Times New Roman" w:hAnsi="Times New Roman"/>
                <w:sz w:val="20"/>
              </w:rPr>
              <w:t>30 RCT, 1.547 VTN SAD</w:t>
            </w:r>
          </w:p>
        </w:tc>
        <w:tc>
          <w:tcPr>
            <w:tcW w:w="2551" w:type="dxa"/>
          </w:tcPr>
          <w:p>
            <w:r>
              <w:rPr>
                <w:rFonts w:ascii="Times New Roman" w:hAnsi="Times New Roman"/>
                <w:sz w:val="20"/>
              </w:rPr>
              <w:t>iCBT SUCRA 71,2 % hạng 1; gCBT 68,4 %</w:t>
            </w:r>
          </w:p>
        </w:tc>
      </w:tr>
      <w:tr>
        <w:tc>
          <w:tcPr>
            <w:tcW w:w="453" w:type="dxa"/>
          </w:tcPr>
          <w:p>
            <w:r>
              <w:rPr>
                <w:rFonts w:ascii="Times New Roman" w:hAnsi="Times New Roman"/>
                <w:sz w:val="20"/>
              </w:rPr>
              <w:t>51</w:t>
            </w:r>
          </w:p>
        </w:tc>
        <w:tc>
          <w:tcPr>
            <w:tcW w:w="1701" w:type="dxa"/>
          </w:tcPr>
          <w:p>
            <w:r>
              <w:rPr>
                <w:rFonts w:ascii="Times New Roman" w:hAnsi="Times New Roman"/>
                <w:sz w:val="20"/>
              </w:rPr>
              <w:t>Sasaki et al. 2024 (B11)</w:t>
            </w:r>
          </w:p>
        </w:tc>
        <w:tc>
          <w:tcPr>
            <w:tcW w:w="963" w:type="dxa"/>
          </w:tcPr>
          <w:p>
            <w:r>
              <w:rPr>
                <w:rFonts w:ascii="Times New Roman" w:hAnsi="Times New Roman"/>
                <w:sz w:val="20"/>
              </w:rPr>
              <w:t>Nhật Bản</w:t>
            </w:r>
          </w:p>
        </w:tc>
        <w:tc>
          <w:tcPr>
            <w:tcW w:w="1304" w:type="dxa"/>
          </w:tcPr>
          <w:p>
            <w:r>
              <w:rPr>
                <w:rFonts w:ascii="Times New Roman" w:hAnsi="Times New Roman"/>
                <w:sz w:val="20"/>
              </w:rPr>
              <w:t>RCT đa trung tâm</w:t>
            </w:r>
          </w:p>
        </w:tc>
        <w:tc>
          <w:tcPr>
            <w:tcW w:w="1814" w:type="dxa"/>
          </w:tcPr>
          <w:p>
            <w:r>
              <w:rPr>
                <w:rFonts w:ascii="Times New Roman" w:hAnsi="Times New Roman"/>
                <w:sz w:val="20"/>
              </w:rPr>
              <w:t>77 HS-SV (38 + 39) tại 6 ĐH + 1 THPT</w:t>
            </w:r>
          </w:p>
        </w:tc>
        <w:tc>
          <w:tcPr>
            <w:tcW w:w="2551" w:type="dxa"/>
          </w:tcPr>
          <w:p>
            <w:r>
              <w:rPr>
                <w:rFonts w:ascii="Times New Roman" w:hAnsi="Times New Roman"/>
                <w:sz w:val="20"/>
              </w:rPr>
              <w:t>iCBT tự học; OR đáp ứng = 4,97; OR phục hồi = 3,95</w:t>
            </w:r>
          </w:p>
        </w:tc>
      </w:tr>
      <w:tr>
        <w:tc>
          <w:tcPr>
            <w:tcW w:w="453" w:type="dxa"/>
          </w:tcPr>
          <w:p>
            <w:r>
              <w:rPr>
                <w:rFonts w:ascii="Times New Roman" w:hAnsi="Times New Roman"/>
                <w:sz w:val="20"/>
              </w:rPr>
              <w:t>57*</w:t>
            </w:r>
          </w:p>
        </w:tc>
        <w:tc>
          <w:tcPr>
            <w:tcW w:w="1701" w:type="dxa"/>
          </w:tcPr>
          <w:p>
            <w:r>
              <w:rPr>
                <w:rFonts w:ascii="Times New Roman" w:hAnsi="Times New Roman"/>
                <w:sz w:val="20"/>
              </w:rPr>
              <w:t>Qiaochu &amp; Wang 2025</w:t>
            </w:r>
          </w:p>
        </w:tc>
        <w:tc>
          <w:tcPr>
            <w:tcW w:w="963" w:type="dxa"/>
          </w:tcPr>
          <w:p>
            <w:r>
              <w:rPr>
                <w:rFonts w:ascii="Times New Roman" w:hAnsi="Times New Roman"/>
                <w:sz w:val="20"/>
              </w:rPr>
              <w:t>Trung Quốc</w:t>
            </w:r>
          </w:p>
        </w:tc>
        <w:tc>
          <w:tcPr>
            <w:tcW w:w="1304" w:type="dxa"/>
          </w:tcPr>
          <w:p>
            <w:r>
              <w:rPr>
                <w:rFonts w:ascii="Times New Roman" w:hAnsi="Times New Roman"/>
                <w:sz w:val="20"/>
              </w:rPr>
              <w:t>SR 9 RCT</w:t>
            </w:r>
          </w:p>
        </w:tc>
        <w:tc>
          <w:tcPr>
            <w:tcW w:w="1814" w:type="dxa"/>
          </w:tcPr>
          <w:p>
            <w:r>
              <w:rPr>
                <w:rFonts w:ascii="Times New Roman" w:hAnsi="Times New Roman"/>
                <w:sz w:val="20"/>
              </w:rPr>
              <w:t>2.479 trẻ + người trẻ</w:t>
            </w:r>
          </w:p>
        </w:tc>
        <w:tc>
          <w:tcPr>
            <w:tcW w:w="2551" w:type="dxa"/>
          </w:tcPr>
          <w:p>
            <w:r>
              <w:rPr>
                <w:rFonts w:ascii="Times New Roman" w:hAnsi="Times New Roman"/>
                <w:sz w:val="20"/>
              </w:rPr>
              <w:t>Mobile CBT: trầm cảm 7/8; lo âu chỉ 2/6</w:t>
            </w:r>
          </w:p>
        </w:tc>
      </w:tr>
      <w:tr>
        <w:tc>
          <w:tcPr>
            <w:tcW w:w="453" w:type="dxa"/>
          </w:tcPr>
          <w:p>
            <w:r>
              <w:rPr>
                <w:rFonts w:ascii="Times New Roman" w:hAnsi="Times New Roman"/>
                <w:sz w:val="20"/>
              </w:rPr>
              <w:t>58*</w:t>
            </w:r>
          </w:p>
        </w:tc>
        <w:tc>
          <w:tcPr>
            <w:tcW w:w="1701" w:type="dxa"/>
          </w:tcPr>
          <w:p>
            <w:r>
              <w:rPr>
                <w:rFonts w:ascii="Times New Roman" w:hAnsi="Times New Roman"/>
                <w:sz w:val="20"/>
              </w:rPr>
              <w:t>Menon et al. 2025</w:t>
            </w:r>
          </w:p>
        </w:tc>
        <w:tc>
          <w:tcPr>
            <w:tcW w:w="963" w:type="dxa"/>
          </w:tcPr>
          <w:p>
            <w:r>
              <w:rPr>
                <w:rFonts w:ascii="Times New Roman" w:hAnsi="Times New Roman"/>
                <w:sz w:val="20"/>
              </w:rPr>
              <w:t>LMIC ĐÁ-TBD</w:t>
            </w:r>
          </w:p>
        </w:tc>
        <w:tc>
          <w:tcPr>
            <w:tcW w:w="1304" w:type="dxa"/>
          </w:tcPr>
          <w:p>
            <w:r>
              <w:rPr>
                <w:rFonts w:ascii="Times New Roman" w:hAnsi="Times New Roman"/>
                <w:sz w:val="20"/>
              </w:rPr>
              <w:t>Scoping 69 NC</w:t>
            </w:r>
          </w:p>
        </w:tc>
        <w:tc>
          <w:tcPr>
            <w:tcW w:w="1814" w:type="dxa"/>
          </w:tcPr>
          <w:p>
            <w:r>
              <w:rPr>
                <w:rFonts w:ascii="Times New Roman" w:hAnsi="Times New Roman"/>
                <w:sz w:val="20"/>
              </w:rPr>
              <w:t>12 quốc gia</w:t>
            </w:r>
          </w:p>
        </w:tc>
        <w:tc>
          <w:tcPr>
            <w:tcW w:w="2551" w:type="dxa"/>
          </w:tcPr>
          <w:p>
            <w:r>
              <w:rPr>
                <w:rFonts w:ascii="Times New Roman" w:hAnsi="Times New Roman"/>
                <w:sz w:val="20"/>
              </w:rPr>
              <w:t>Thiếu cộng đồng, gia đình, dài hạn</w:t>
            </w:r>
          </w:p>
        </w:tc>
      </w:tr>
      <w:tr>
        <w:tc>
          <w:tcPr>
            <w:tcW w:w="453" w:type="dxa"/>
          </w:tcPr>
          <w:p>
            <w:r>
              <w:rPr>
                <w:rFonts w:ascii="Times New Roman" w:hAnsi="Times New Roman"/>
                <w:sz w:val="20"/>
              </w:rPr>
              <w:t>29</w:t>
            </w:r>
          </w:p>
        </w:tc>
        <w:tc>
          <w:tcPr>
            <w:tcW w:w="1701" w:type="dxa"/>
          </w:tcPr>
          <w:p>
            <w:r>
              <w:rPr>
                <w:rFonts w:ascii="Times New Roman" w:hAnsi="Times New Roman"/>
                <w:sz w:val="20"/>
              </w:rPr>
              <w:t>Li et al. 2025 (BMC NMA)</w:t>
            </w:r>
          </w:p>
        </w:tc>
        <w:tc>
          <w:tcPr>
            <w:tcW w:w="963" w:type="dxa"/>
          </w:tcPr>
          <w:p>
            <w:r>
              <w:rPr>
                <w:rFonts w:ascii="Times New Roman" w:hAnsi="Times New Roman"/>
                <w:sz w:val="20"/>
              </w:rPr>
              <w:t>Trung Quốc</w:t>
            </w:r>
          </w:p>
        </w:tc>
        <w:tc>
          <w:tcPr>
            <w:tcW w:w="1304" w:type="dxa"/>
          </w:tcPr>
          <w:p>
            <w:r>
              <w:rPr>
                <w:rFonts w:ascii="Times New Roman" w:hAnsi="Times New Roman"/>
                <w:sz w:val="20"/>
              </w:rPr>
              <w:t>NMA Bayesian</w:t>
            </w:r>
          </w:p>
        </w:tc>
        <w:tc>
          <w:tcPr>
            <w:tcW w:w="1814" w:type="dxa"/>
          </w:tcPr>
          <w:p>
            <w:r>
              <w:rPr>
                <w:rFonts w:ascii="Times New Roman" w:hAnsi="Times New Roman"/>
                <w:sz w:val="20"/>
              </w:rPr>
              <w:t>30 RCT, 1.711 trẻ</w:t>
            </w:r>
          </w:p>
        </w:tc>
        <w:tc>
          <w:tcPr>
            <w:tcW w:w="2551" w:type="dxa"/>
          </w:tcPr>
          <w:p>
            <w:r>
              <w:rPr>
                <w:rFonts w:ascii="Times New Roman" w:hAnsi="Times New Roman"/>
                <w:sz w:val="20"/>
              </w:rPr>
              <w:t>CBT SUCRA 0,66 (16 RCT); PE 0,51 (2 RCT)</w:t>
            </w:r>
          </w:p>
        </w:tc>
      </w:tr>
    </w:tbl>
    <w:p>
      <w:r>
        <w:rPr>
          <w:rFonts w:ascii="Times New Roman" w:hAnsi="Times New Roman"/>
          <w:b w:val="0"/>
          <w:i/>
          <w:sz w:val="20"/>
        </w:rPr>
        <w:t>Bảng 3. Tổng quan 7 nghiên cứu can thiệp Châu Á (ngoài Việt Nam). * Các bài đánh dấu * chỉ có thông tin abstract (paywall).</w:t>
      </w:r>
    </w:p>
    <w:p>
      <w:pPr>
        <w:pStyle w:val="Heading2"/>
      </w:pPr>
      <w:r>
        <w:rPr>
          <w:rFonts w:ascii="Times New Roman" w:hAnsi="Times New Roman"/>
          <w:color w:val="000000"/>
        </w:rPr>
        <w:t>2.2. Praptomojati &amp; Hartanto (2024) — CA-CBT cho rối loạn lo âu ở Đông Nam Á</w:t>
      </w:r>
    </w:p>
    <w:p>
      <w:pPr>
        <w:jc w:val="both"/>
      </w:pPr>
      <w:r>
        <w:rPr>
          <w:rFonts w:ascii="Times New Roman" w:hAnsi="Times New Roman"/>
          <w:b w:val="0"/>
          <w:i w:val="0"/>
          <w:sz w:val="24"/>
        </w:rPr>
        <w:t>Tổng quan hệ thống về Liệu pháp Nhận thức – Hành vi Thích ứng Văn hoá (Culturally Adapted CBT — CA-CBT) cho rối loạn lo âu tại Đông Nam Á, đăng trên Asian Journal of Psychiatry (Q1, IF ≈ 12 — tạp chí tâm thần châu Á uy tín nhất). Tìm kiếm hệ thống PubMed, PsycINFO, Embase, CENTRAL, GARUDA và Google Scholar đã chọn được 7 nghiên cứu (1 RCT, 3 bán thực nghiệm, 3 ca lâm sàng) trên 11 nước ĐNA — trong đó có 0 nghiên cứu nào từ Việt Nam (Praptomojati &amp; Hartanto 2024, A J Psychiatry vol. 92, tr. 1–9).</w:t>
      </w:r>
    </w:p>
    <w:p>
      <w:pPr>
        <w:jc w:val="both"/>
      </w:pPr>
      <w:r>
        <w:rPr>
          <w:rFonts w:ascii="Times New Roman" w:hAnsi="Times New Roman"/>
          <w:b w:val="0"/>
          <w:i w:val="0"/>
          <w:sz w:val="24"/>
        </w:rPr>
        <w:t>Hai trong số 7 nghiên cứu thực hiện thích ứng đa thành phần, hai nghiên cứu sửa đổi thành phần CỐT LÕI bằng tích hợp tôn giáo (Hồi giáo ở Indonesia, Phật giáo ở Thái Lan) hoặc ngôn ngữ địa phương. Khung CTAF (Cultural Treatment Adaptation Framework) phân loại rõ thích ứng ngoại vi (peripheral — ngôn ngữ, hình ảnh) so với thích ứng cốt lõi (deep — niềm tin, hệ giá trị).</w:t>
      </w:r>
    </w:p>
    <w:p>
      <w:pPr>
        <w:jc w:val="both"/>
      </w:pPr>
      <w:r>
        <w:rPr>
          <w:rFonts w:ascii="Times New Roman" w:hAnsi="Times New Roman"/>
          <w:b w:val="0"/>
          <w:i/>
          <w:color w:val="CC0000"/>
          <w:sz w:val="24"/>
        </w:rPr>
        <w:t>Phản biện: SR khu vực ĐNA RẤT QUÝ cho Việt Nam vì xác định rõ khoảng trống — Việt Nam là một trong những nước có 0 nghiên cứu CA-CBT trong khu vực. Áp dụng cho dự án: cần phát triển CA-CBT phiên bản tiếng Việt với thích ứng văn hoá Á Đông (hệ giá trị Khổng giáo, gia đình mở rộng) và yếu tố tôn giáo (Phật giáo, Công giáo). Phù hợp với phát hiện của Dong, Wang &amp; Lin (2025, PLOS ONE 20(9):e0328785, tr. 8) về "fear of letting down others" ở 60,3 % học sinh Trung Quốc — một cấu trúc tâm lý đặc thù Á Đông cần can thiệp riêng.</w:t>
      </w:r>
    </w:p>
    <w:p>
      <w:pPr>
        <w:pStyle w:val="Heading2"/>
      </w:pPr>
      <w:r>
        <w:rPr>
          <w:rFonts w:ascii="Times New Roman" w:hAnsi="Times New Roman"/>
          <w:color w:val="000000"/>
        </w:rPr>
        <w:t>2.3. De Silva et al. (2024) — Cluster RCT can thiệp CBT trường tại Sri Lanka</w:t>
      </w:r>
    </w:p>
    <w:p>
      <w:pPr>
        <w:jc w:val="both"/>
      </w:pPr>
      <w:r>
        <w:rPr>
          <w:rFonts w:ascii="Times New Roman" w:hAnsi="Times New Roman"/>
          <w:b w:val="0"/>
          <w:i w:val="0"/>
          <w:sz w:val="24"/>
        </w:rPr>
        <w:t>Thử nghiệm ngẫu nhiên có đối chứng theo cụm (cluster RCT) — phân ngẫu nhiên 36 TRƯỜNG học (không phải học sinh): 18 trường can thiệp + 18 trường đối chứng. Mỗi nhánh 360 học sinh lớp 9 (~ 14 tuổi), tổng cộng 720 học sinh. Đăng trên Child and Adolescent Psychiatry and Mental Health vol. 18, article 108, tr. 1–12, DOI 10.1186/s13034-024-00799-9 (De Silva et al. 2024).</w:t>
      </w:r>
    </w:p>
    <w:p>
      <w:pPr>
        <w:jc w:val="both"/>
      </w:pPr>
      <w:r>
        <w:rPr>
          <w:rFonts w:ascii="Times New Roman" w:hAnsi="Times New Roman"/>
          <w:b w:val="0"/>
          <w:i w:val="0"/>
          <w:sz w:val="24"/>
        </w:rPr>
        <w:t>Can thiệp gồm 8 phiên CBT mỗi tuần, 40 phút/phiên, do GIÁO VIÊN cung cấp sau khi được đào tạo. Chương trình bao gồm tâm lý giáo dục, kỹ thuật thở, tái cấu trúc nhận thức, kỹ năng giải quyết vấn đề và kỹ năng đối phó. Theo dõi 3 tháng sau can thiệp.</w:t>
      </w:r>
    </w:p>
    <w:p>
      <w:r>
        <w:rPr>
          <w:rFonts w:ascii="Times New Roman" w:hAnsi="Times New Roman"/>
          <w:b/>
          <w:i w:val="0"/>
          <w:sz w:val="24"/>
        </w:rPr>
        <w:t>Kết quả chính (De Silva et al. 2024, Bảng 3 tr. 7):</w:t>
      </w:r>
    </w:p>
    <w:p>
      <w:pPr>
        <w:jc w:val="both"/>
      </w:pPr>
      <w:r>
        <w:rPr>
          <w:rFonts w:ascii="Times New Roman" w:hAnsi="Times New Roman"/>
          <w:b w:val="0"/>
          <w:i w:val="0"/>
          <w:sz w:val="24"/>
        </w:rPr>
        <w:t>• Tỷ lệ mất mẫu &lt; 1 % — tuân thủ rất cao, chứng tỏ tính khả thi của mô hình.</w:t>
      </w:r>
    </w:p>
    <w:p>
      <w:pPr>
        <w:jc w:val="both"/>
      </w:pPr>
      <w:r>
        <w:rPr>
          <w:rFonts w:ascii="Times New Roman" w:hAnsi="Times New Roman"/>
          <w:b w:val="0"/>
          <w:i w:val="0"/>
          <w:sz w:val="24"/>
        </w:rPr>
        <w:t>• Lo âu giảm có ý nghĩa thống kê sau 3 tháng: β = −0,096 (KTC 95 %: −0,186 đến −0,005, p = 0,038).</w:t>
      </w:r>
    </w:p>
    <w:p>
      <w:pPr>
        <w:jc w:val="both"/>
      </w:pPr>
      <w:r>
        <w:rPr>
          <w:rFonts w:ascii="Times New Roman" w:hAnsi="Times New Roman"/>
          <w:b w:val="0"/>
          <w:i w:val="0"/>
          <w:sz w:val="24"/>
        </w:rPr>
        <w:t>• Tự trọng (self-esteem) tăng có ý nghĩa: β = +0,811 sau can thiệp (cùng bảng).</w:t>
      </w:r>
    </w:p>
    <w:p>
      <w:pPr>
        <w:jc w:val="both"/>
      </w:pPr>
      <w:r>
        <w:rPr>
          <w:rFonts w:ascii="Times New Roman" w:hAnsi="Times New Roman"/>
          <w:b w:val="0"/>
          <w:i/>
          <w:color w:val="CC0000"/>
          <w:sz w:val="24"/>
        </w:rPr>
        <w:t>Phản biện: Sri Lanka là quốc gia LMIC Nam Á — bối cảnh nguồn lực hạn chế tương tự Việt Nam. Mô hình "GV cung cấp CBT" rẻ tiền, có thể nhân rộng. Đây là MÔ HÌNH KHẢ THI nhất cho Việt Nam trong số tất cả các nghiên cứu được tổng hợp. Tuy có khác biệt với Brown &amp; Carter (2025, J Mental Health 34(4):358) — họ cho rằng "chuyên gia lâm sàng thường hiệu quả hơn giáo viên" — nhưng Sri Lanka cho thấy GV vẫn ĐỦ với đào tạo phù hợp. Cần lặp lại tại Việt Nam để có bằng chứng nội địa.</w:t>
      </w:r>
    </w:p>
    <w:p>
      <w:pPr>
        <w:pStyle w:val="Heading2"/>
      </w:pPr>
      <w:r>
        <w:rPr>
          <w:rFonts w:ascii="Times New Roman" w:hAnsi="Times New Roman"/>
          <w:color w:val="000000"/>
        </w:rPr>
        <w:t>2.4. Xian, Zhang &amp; Jiang (2024) — Network Meta-Analysis 30 RCT cho SAD</w:t>
      </w:r>
    </w:p>
    <w:p>
      <w:pPr>
        <w:jc w:val="both"/>
      </w:pPr>
      <w:r>
        <w:rPr>
          <w:rFonts w:ascii="Times New Roman" w:hAnsi="Times New Roman"/>
          <w:b w:val="0"/>
          <w:i w:val="0"/>
          <w:sz w:val="24"/>
        </w:rPr>
        <w:t>Phân tích tổng hợp mạng Bayesian 30 RCT, n = 1.547 vị thành niên có Lo âu Xã hội (SAD), 9 liệu pháp + 3 nhóm đối chứng. Đăng trên Journal of Affective Disorders vol. 365, tr. 614–627 (Xian, Zhang &amp; Jiang 2024). PROSPERO CRD42023476829.</w:t>
      </w:r>
    </w:p>
    <w:p>
      <w:pPr>
        <w:jc w:val="both"/>
      </w:pPr>
      <w:r>
        <w:rPr>
          <w:rFonts w:ascii="Times New Roman" w:hAnsi="Times New Roman"/>
          <w:b w:val="0"/>
          <w:i w:val="0"/>
          <w:sz w:val="24"/>
        </w:rPr>
        <w:t>Đây là phân tích tổng hợp mạng đầu tiên tập trung riêng cho SAD ở vị thành niên — bằng chứng vàng cho việc xếp hạng các can thiệp tâm lý. Kết quả SUCRA (Bảng 2 tr. 619):</w:t>
      </w:r>
    </w:p>
    <w:tbl>
      <w:tblPr>
        <w:tblStyle w:val="TableGrid"/>
        <w:tblW w:type="auto" w:w="0"/>
        <w:jc w:val="center"/>
        <w:tblLook w:firstColumn="1" w:firstRow="1" w:lastColumn="0" w:lastRow="0" w:noHBand="0" w:noVBand="1" w:val="04A0"/>
        <w:tblLayout w:type="fixed"/>
      </w:tblPr>
      <w:tblGrid>
        <w:gridCol w:w="567"/>
        <w:gridCol w:w="2835"/>
        <w:gridCol w:w="1417"/>
        <w:gridCol w:w="3969"/>
      </w:tblGrid>
      <w:tr>
        <w:tc>
          <w:tcPr>
            <w:tcW w:w="567" w:type="dxa"/>
            <w:shd w:fill="D9E2F3" w:val="clear"/>
          </w:tcPr>
          <w:p>
            <w:pPr>
              <w:jc w:val="center"/>
            </w:pPr>
            <w:r>
              <w:rPr>
                <w:rFonts w:ascii="Times New Roman" w:hAnsi="Times New Roman"/>
                <w:b/>
                <w:sz w:val="20"/>
              </w:rPr>
              <w:t>Hạng</w:t>
            </w:r>
          </w:p>
        </w:tc>
        <w:tc>
          <w:tcPr>
            <w:tcW w:w="2835" w:type="dxa"/>
            <w:shd w:fill="D9E2F3" w:val="clear"/>
          </w:tcPr>
          <w:p>
            <w:pPr>
              <w:jc w:val="center"/>
            </w:pPr>
            <w:r>
              <w:rPr>
                <w:rFonts w:ascii="Times New Roman" w:hAnsi="Times New Roman"/>
                <w:b/>
                <w:sz w:val="20"/>
              </w:rPr>
              <w:t>Liệu pháp</w:t>
            </w:r>
          </w:p>
        </w:tc>
        <w:tc>
          <w:tcPr>
            <w:tcW w:w="1417" w:type="dxa"/>
            <w:shd w:fill="D9E2F3" w:val="clear"/>
          </w:tcPr>
          <w:p>
            <w:pPr>
              <w:jc w:val="center"/>
            </w:pPr>
            <w:r>
              <w:rPr>
                <w:rFonts w:ascii="Times New Roman" w:hAnsi="Times New Roman"/>
                <w:b/>
                <w:sz w:val="20"/>
              </w:rPr>
              <w:t>SUCRA (%)</w:t>
            </w:r>
          </w:p>
        </w:tc>
        <w:tc>
          <w:tcPr>
            <w:tcW w:w="3969" w:type="dxa"/>
            <w:shd w:fill="D9E2F3" w:val="clear"/>
          </w:tcPr>
          <w:p>
            <w:pPr>
              <w:jc w:val="center"/>
            </w:pPr>
            <w:r>
              <w:rPr>
                <w:rFonts w:ascii="Times New Roman" w:hAnsi="Times New Roman"/>
                <w:b/>
                <w:sz w:val="20"/>
              </w:rPr>
              <w:t>Ghi chú</w:t>
            </w:r>
          </w:p>
        </w:tc>
      </w:tr>
      <w:tr>
        <w:tc>
          <w:tcPr>
            <w:tcW w:w="567" w:type="dxa"/>
          </w:tcPr>
          <w:p>
            <w:r>
              <w:rPr>
                <w:rFonts w:ascii="Times New Roman" w:hAnsi="Times New Roman"/>
                <w:sz w:val="20"/>
              </w:rPr>
              <w:t>1</w:t>
            </w:r>
          </w:p>
        </w:tc>
        <w:tc>
          <w:tcPr>
            <w:tcW w:w="2835" w:type="dxa"/>
          </w:tcPr>
          <w:p>
            <w:r>
              <w:rPr>
                <w:rFonts w:ascii="Times New Roman" w:hAnsi="Times New Roman"/>
                <w:sz w:val="20"/>
              </w:rPr>
              <w:t>iCBT (CBT internet)</w:t>
            </w:r>
          </w:p>
        </w:tc>
        <w:tc>
          <w:tcPr>
            <w:tcW w:w="1417" w:type="dxa"/>
          </w:tcPr>
          <w:p>
            <w:r>
              <w:rPr>
                <w:rFonts w:ascii="Times New Roman" w:hAnsi="Times New Roman"/>
                <w:sz w:val="20"/>
              </w:rPr>
              <w:t>71,2</w:t>
            </w:r>
          </w:p>
        </w:tc>
        <w:tc>
          <w:tcPr>
            <w:tcW w:w="3969" w:type="dxa"/>
          </w:tcPr>
          <w:p>
            <w:r>
              <w:rPr>
                <w:rFonts w:ascii="Times New Roman" w:hAnsi="Times New Roman"/>
                <w:sz w:val="20"/>
              </w:rPr>
              <w:t>Tự học online + hướng dẫn — phù hợp VTN số hoá</w:t>
            </w:r>
          </w:p>
        </w:tc>
      </w:tr>
      <w:tr>
        <w:tc>
          <w:tcPr>
            <w:tcW w:w="567" w:type="dxa"/>
          </w:tcPr>
          <w:p>
            <w:r>
              <w:rPr>
                <w:rFonts w:ascii="Times New Roman" w:hAnsi="Times New Roman"/>
                <w:sz w:val="20"/>
              </w:rPr>
              <w:t>2</w:t>
            </w:r>
          </w:p>
        </w:tc>
        <w:tc>
          <w:tcPr>
            <w:tcW w:w="2835" w:type="dxa"/>
          </w:tcPr>
          <w:p>
            <w:r>
              <w:rPr>
                <w:rFonts w:ascii="Times New Roman" w:hAnsi="Times New Roman"/>
                <w:sz w:val="20"/>
              </w:rPr>
              <w:t>gCBT (CBT nhóm)</w:t>
            </w:r>
          </w:p>
        </w:tc>
        <w:tc>
          <w:tcPr>
            <w:tcW w:w="1417" w:type="dxa"/>
          </w:tcPr>
          <w:p>
            <w:r>
              <w:rPr>
                <w:rFonts w:ascii="Times New Roman" w:hAnsi="Times New Roman"/>
                <w:sz w:val="20"/>
              </w:rPr>
              <w:t>68,4</w:t>
            </w:r>
          </w:p>
        </w:tc>
        <w:tc>
          <w:tcPr>
            <w:tcW w:w="3969" w:type="dxa"/>
          </w:tcPr>
          <w:p>
            <w:r>
              <w:rPr>
                <w:rFonts w:ascii="Times New Roman" w:hAnsi="Times New Roman"/>
                <w:sz w:val="20"/>
              </w:rPr>
              <w:t>Nhóm 6–12 HS, 8–16 tuần — KHẢ THI nhất cho trường VN</w:t>
            </w:r>
          </w:p>
        </w:tc>
      </w:tr>
      <w:tr>
        <w:tc>
          <w:tcPr>
            <w:tcW w:w="567" w:type="dxa"/>
          </w:tcPr>
          <w:p>
            <w:r>
              <w:rPr>
                <w:rFonts w:ascii="Times New Roman" w:hAnsi="Times New Roman"/>
                <w:sz w:val="20"/>
              </w:rPr>
              <w:t>3</w:t>
            </w:r>
          </w:p>
        </w:tc>
        <w:tc>
          <w:tcPr>
            <w:tcW w:w="2835" w:type="dxa"/>
          </w:tcPr>
          <w:p>
            <w:r>
              <w:rPr>
                <w:rFonts w:ascii="Times New Roman" w:hAnsi="Times New Roman"/>
                <w:sz w:val="20"/>
              </w:rPr>
              <w:t>I-CBT (CBT cá nhân)</w:t>
            </w:r>
          </w:p>
        </w:tc>
        <w:tc>
          <w:tcPr>
            <w:tcW w:w="1417" w:type="dxa"/>
          </w:tcPr>
          <w:p>
            <w:r>
              <w:rPr>
                <w:rFonts w:ascii="Times New Roman" w:hAnsi="Times New Roman"/>
                <w:sz w:val="20"/>
              </w:rPr>
              <w:t>66,0</w:t>
            </w:r>
          </w:p>
        </w:tc>
        <w:tc>
          <w:tcPr>
            <w:tcW w:w="3969" w:type="dxa"/>
          </w:tcPr>
          <w:p>
            <w:r>
              <w:rPr>
                <w:rFonts w:ascii="Times New Roman" w:hAnsi="Times New Roman"/>
                <w:sz w:val="20"/>
              </w:rPr>
              <w:t>Tốn chuyên gia — khó cho LMIC</w:t>
            </w:r>
          </w:p>
        </w:tc>
      </w:tr>
      <w:tr>
        <w:tc>
          <w:tcPr>
            <w:tcW w:w="567" w:type="dxa"/>
          </w:tcPr>
          <w:p>
            <w:r>
              <w:rPr>
                <w:rFonts w:ascii="Times New Roman" w:hAnsi="Times New Roman"/>
                <w:sz w:val="20"/>
              </w:rPr>
              <w:t>4</w:t>
            </w:r>
          </w:p>
        </w:tc>
        <w:tc>
          <w:tcPr>
            <w:tcW w:w="2835" w:type="dxa"/>
          </w:tcPr>
          <w:p>
            <w:r>
              <w:rPr>
                <w:rFonts w:ascii="Times New Roman" w:hAnsi="Times New Roman"/>
                <w:sz w:val="20"/>
              </w:rPr>
              <w:t>SET-C (Training XH)</w:t>
            </w:r>
          </w:p>
        </w:tc>
        <w:tc>
          <w:tcPr>
            <w:tcW w:w="1417" w:type="dxa"/>
          </w:tcPr>
          <w:p>
            <w:r>
              <w:rPr>
                <w:rFonts w:ascii="Times New Roman" w:hAnsi="Times New Roman"/>
                <w:sz w:val="20"/>
              </w:rPr>
              <w:t>~ 60</w:t>
            </w:r>
          </w:p>
        </w:tc>
        <w:tc>
          <w:tcPr>
            <w:tcW w:w="3969" w:type="dxa"/>
          </w:tcPr>
          <w:p>
            <w:r>
              <w:rPr>
                <w:rFonts w:ascii="Times New Roman" w:hAnsi="Times New Roman"/>
                <w:sz w:val="20"/>
              </w:rPr>
              <w:t>Kỹ năng XH + phơi nhiễm — kết hợp được</w:t>
            </w:r>
          </w:p>
        </w:tc>
      </w:tr>
      <w:tr>
        <w:tc>
          <w:tcPr>
            <w:tcW w:w="567" w:type="dxa"/>
          </w:tcPr>
          <w:p>
            <w:r>
              <w:rPr>
                <w:rFonts w:ascii="Times New Roman" w:hAnsi="Times New Roman"/>
                <w:sz w:val="20"/>
              </w:rPr>
              <w:t>5</w:t>
            </w:r>
          </w:p>
        </w:tc>
        <w:tc>
          <w:tcPr>
            <w:tcW w:w="2835" w:type="dxa"/>
          </w:tcPr>
          <w:p>
            <w:r>
              <w:rPr>
                <w:rFonts w:ascii="Times New Roman" w:hAnsi="Times New Roman"/>
                <w:sz w:val="20"/>
              </w:rPr>
              <w:t>IPT (Liệu pháp giữa cá nhân)</w:t>
            </w:r>
          </w:p>
        </w:tc>
        <w:tc>
          <w:tcPr>
            <w:tcW w:w="1417" w:type="dxa"/>
          </w:tcPr>
          <w:p>
            <w:r>
              <w:rPr>
                <w:rFonts w:ascii="Times New Roman" w:hAnsi="Times New Roman"/>
                <w:sz w:val="20"/>
              </w:rPr>
              <w:t>~ 55</w:t>
            </w:r>
          </w:p>
        </w:tc>
        <w:tc>
          <w:tcPr>
            <w:tcW w:w="3969" w:type="dxa"/>
          </w:tcPr>
          <w:p>
            <w:r>
              <w:rPr>
                <w:rFonts w:ascii="Times New Roman" w:hAnsi="Times New Roman"/>
                <w:sz w:val="20"/>
              </w:rPr>
              <w:t>Ít nghiên cứu</w:t>
            </w:r>
          </w:p>
        </w:tc>
      </w:tr>
      <w:tr>
        <w:tc>
          <w:tcPr>
            <w:tcW w:w="567" w:type="dxa"/>
          </w:tcPr>
          <w:p>
            <w:r>
              <w:rPr>
                <w:rFonts w:ascii="Times New Roman" w:hAnsi="Times New Roman"/>
                <w:sz w:val="20"/>
              </w:rPr>
              <w:t>6</w:t>
            </w:r>
          </w:p>
        </w:tc>
        <w:tc>
          <w:tcPr>
            <w:tcW w:w="2835" w:type="dxa"/>
          </w:tcPr>
          <w:p>
            <w:r>
              <w:rPr>
                <w:rFonts w:ascii="Times New Roman" w:hAnsi="Times New Roman"/>
                <w:sz w:val="20"/>
              </w:rPr>
              <w:t>AT (Huấn luyện chú ý)</w:t>
            </w:r>
          </w:p>
        </w:tc>
        <w:tc>
          <w:tcPr>
            <w:tcW w:w="1417" w:type="dxa"/>
          </w:tcPr>
          <w:p>
            <w:r>
              <w:rPr>
                <w:rFonts w:ascii="Times New Roman" w:hAnsi="Times New Roman"/>
                <w:sz w:val="20"/>
              </w:rPr>
              <w:t>~ 50</w:t>
            </w:r>
          </w:p>
        </w:tc>
        <w:tc>
          <w:tcPr>
            <w:tcW w:w="3969" w:type="dxa"/>
          </w:tcPr>
          <w:p>
            <w:r>
              <w:rPr>
                <w:rFonts w:ascii="Times New Roman" w:hAnsi="Times New Roman"/>
                <w:sz w:val="20"/>
              </w:rPr>
              <w:t>Còn ở giai đoạn thực nghiệm</w:t>
            </w:r>
          </w:p>
        </w:tc>
      </w:tr>
      <w:tr>
        <w:tc>
          <w:tcPr>
            <w:tcW w:w="567" w:type="dxa"/>
          </w:tcPr>
          <w:p>
            <w:r>
              <w:rPr>
                <w:rFonts w:ascii="Times New Roman" w:hAnsi="Times New Roman"/>
                <w:sz w:val="20"/>
              </w:rPr>
              <w:t>—</w:t>
            </w:r>
          </w:p>
        </w:tc>
        <w:tc>
          <w:tcPr>
            <w:tcW w:w="2835" w:type="dxa"/>
          </w:tcPr>
          <w:p>
            <w:r>
              <w:rPr>
                <w:rFonts w:ascii="Times New Roman" w:hAnsi="Times New Roman"/>
                <w:sz w:val="20"/>
              </w:rPr>
              <w:t>WL / NT / PBO (đối chứng)</w:t>
            </w:r>
          </w:p>
        </w:tc>
        <w:tc>
          <w:tcPr>
            <w:tcW w:w="1417" w:type="dxa"/>
          </w:tcPr>
          <w:p>
            <w:r>
              <w:rPr>
                <w:rFonts w:ascii="Times New Roman" w:hAnsi="Times New Roman"/>
                <w:sz w:val="20"/>
              </w:rPr>
              <w:t>&lt; 20</w:t>
            </w:r>
          </w:p>
        </w:tc>
        <w:tc>
          <w:tcPr>
            <w:tcW w:w="3969" w:type="dxa"/>
          </w:tcPr>
          <w:p>
            <w:r>
              <w:rPr>
                <w:rFonts w:ascii="Times New Roman" w:hAnsi="Times New Roman"/>
                <w:sz w:val="20"/>
              </w:rPr>
              <w:t>Đối chứng — không hiệu quả</w:t>
            </w:r>
          </w:p>
        </w:tc>
      </w:tr>
    </w:tbl>
    <w:p>
      <w:r>
        <w:rPr>
          <w:rFonts w:ascii="Times New Roman" w:hAnsi="Times New Roman"/>
          <w:b w:val="0"/>
          <w:i/>
          <w:sz w:val="20"/>
        </w:rPr>
        <w:t>Bảng 4. Xếp hạng can thiệp cho rối loạn lo âu xã hội ở vị thành niên. Nguồn: Xian, Zhang &amp; Jiang 2024, Bảng 2, tr. 619.</w:t>
      </w:r>
    </w:p>
    <w:p>
      <w:pPr>
        <w:jc w:val="center"/>
      </w:pPr>
      <w:r>
        <w:drawing>
          <wp:inline xmlns:a="http://schemas.openxmlformats.org/drawingml/2006/main" xmlns:pic="http://schemas.openxmlformats.org/drawingml/2006/picture">
            <wp:extent cx="5580000" cy="3110035"/>
            <wp:docPr id="4" name="Picture 4"/>
            <wp:cNvGraphicFramePr>
              <a:graphicFrameLocks noChangeAspect="1"/>
            </wp:cNvGraphicFramePr>
            <a:graphic>
              <a:graphicData uri="http://schemas.openxmlformats.org/drawingml/2006/picture">
                <pic:pic>
                  <pic:nvPicPr>
                    <pic:cNvPr id="0" name="chart3_NMA_SAD_Xian.png"/>
                    <pic:cNvPicPr/>
                  </pic:nvPicPr>
                  <pic:blipFill>
                    <a:blip r:embed="rId12"/>
                    <a:stretch>
                      <a:fillRect/>
                    </a:stretch>
                  </pic:blipFill>
                  <pic:spPr>
                    <a:xfrm>
                      <a:off x="0" y="0"/>
                      <a:ext cx="5580000" cy="3110035"/>
                    </a:xfrm>
                    <a:prstGeom prst="rect"/>
                  </pic:spPr>
                </pic:pic>
              </a:graphicData>
            </a:graphic>
          </wp:inline>
        </w:drawing>
      </w:r>
    </w:p>
    <w:p>
      <w:pPr>
        <w:jc w:val="both"/>
      </w:pPr>
      <w:r>
        <w:rPr>
          <w:rFonts w:ascii="Times New Roman" w:hAnsi="Times New Roman"/>
          <w:b w:val="0"/>
          <w:i w:val="0"/>
          <w:sz w:val="24"/>
        </w:rPr>
        <w:t>Hai phát hiện phụ quan trọng (Bảng 3 tr. 620–621): iCBT cho hiệu quả tốt nhất với TRẦM CẢM kèm theo (SUCRA 92,2 %), trong khi gCBT xếp hạng 1 cho cải thiện CHỨC NĂNG xã hội (SUCRA 89,6 %). Như vậy, kết hợp iCBT (giảm triệu chứng) với gCBT (phục hồi chức năng) có thể là chiến lược tối ưu.</w:t>
      </w:r>
    </w:p>
    <w:p>
      <w:pPr>
        <w:jc w:val="both"/>
      </w:pPr>
      <w:r>
        <w:rPr>
          <w:rFonts w:ascii="Times New Roman" w:hAnsi="Times New Roman"/>
          <w:b w:val="0"/>
          <w:i/>
          <w:color w:val="CC0000"/>
          <w:sz w:val="24"/>
        </w:rPr>
        <w:t>Phản biện: NMA cho phép so sánh GIÁN TIẾP tất cả can thiệp — bằng chứng MẠNH NHẤT về xếp hạng có thể thu được không cần thử nghiệm head-to-head. iCBT hạng 1 cho SAD — nên ưu tiên phát triển app tiếng Việt. gCBT hạng 2 nhưng có ưu thế đặc biệt cho phục hồi chức năng — phù hợp triển khai ở trường. Hạn chế: chỉ tập trung SAD (không phải GAD); 30 RCT chủ yếu từ phương Tây và Đông Á phát triển (Trung Quốc, Hàn Quốc, Nhật Bản).</w:t>
      </w:r>
    </w:p>
    <w:p>
      <w:pPr>
        <w:pStyle w:val="Heading2"/>
      </w:pPr>
      <w:r>
        <w:rPr>
          <w:rFonts w:ascii="Times New Roman" w:hAnsi="Times New Roman"/>
          <w:color w:val="000000"/>
        </w:rPr>
        <w:t>2.5. Sasaki et al. (2024) — RCT iCBT đa trung tâm tại Nhật Bản</w:t>
      </w:r>
    </w:p>
    <w:p>
      <w:pPr>
        <w:jc w:val="both"/>
      </w:pPr>
      <w:r>
        <w:rPr>
          <w:rFonts w:ascii="Times New Roman" w:hAnsi="Times New Roman"/>
          <w:b w:val="0"/>
          <w:i w:val="0"/>
          <w:sz w:val="24"/>
        </w:rPr>
        <w:t>Thử nghiệm ngẫu nhiên đa trung tâm tại 6 đại học và 1 trường THPT Nhật Bản, từ 12/2022 đến 10/2023. Đối tượng là học sinh / sinh viên có triệu chứng SAD DƯỚI NGƯỠNG (subthreshold) — chưa đủ tiêu chuẩn chẩn đoán đầy đủ. n = 77 (38 can thiệp + 39 đối chứng). Đăng trên JMIR Pediatrics and Parenting vol. 7, tr. 1–13. UMIN000049768. (Sasaki et al. 2024).</w:t>
      </w:r>
    </w:p>
    <w:p>
      <w:pPr>
        <w:jc w:val="both"/>
      </w:pPr>
      <w:r>
        <w:rPr>
          <w:rFonts w:ascii="Times New Roman" w:hAnsi="Times New Roman"/>
          <w:b w:val="0"/>
          <w:i w:val="0"/>
          <w:sz w:val="24"/>
        </w:rPr>
        <w:t>Can thiệp: iCBT TỰ HỌC HOÀN TOÀN (không có hướng dẫn người), 8 module qua web. Chi phí thực hiện thấp nhất trong các mô hình can thiệp được tổng hợp.</w:t>
      </w:r>
    </w:p>
    <w:p>
      <w:r>
        <w:rPr>
          <w:rFonts w:ascii="Times New Roman" w:hAnsi="Times New Roman"/>
          <w:b/>
          <w:i w:val="0"/>
          <w:sz w:val="24"/>
        </w:rPr>
        <w:t>Kết quả chính (Sasaki et al. 2024, Bảng 2 tr. 7):</w:t>
      </w:r>
    </w:p>
    <w:p>
      <w:pPr>
        <w:jc w:val="both"/>
      </w:pPr>
      <w:r>
        <w:rPr>
          <w:rFonts w:ascii="Times New Roman" w:hAnsi="Times New Roman"/>
          <w:b w:val="0"/>
          <w:i w:val="0"/>
          <w:sz w:val="24"/>
        </w:rPr>
        <w:t>• Tỷ lệ đáp ứng (response rate) 61 %, OR = 4,97 so với nhóm chờ.</w:t>
      </w:r>
    </w:p>
    <w:p>
      <w:pPr>
        <w:jc w:val="both"/>
      </w:pPr>
      <w:r>
        <w:rPr>
          <w:rFonts w:ascii="Times New Roman" w:hAnsi="Times New Roman"/>
          <w:b w:val="0"/>
          <w:i w:val="0"/>
          <w:sz w:val="24"/>
        </w:rPr>
        <w:t>• Tỷ lệ phục hồi (recovery rate) 68 %, OR = 3,95.</w:t>
      </w:r>
    </w:p>
    <w:p>
      <w:pPr>
        <w:jc w:val="both"/>
      </w:pPr>
      <w:r>
        <w:rPr>
          <w:rFonts w:ascii="Times New Roman" w:hAnsi="Times New Roman"/>
          <w:b w:val="0"/>
          <w:i w:val="0"/>
          <w:sz w:val="24"/>
        </w:rPr>
        <w:t>• ANCOVA với trầm cảm là biến đồng: nhóm can thiệp giảm có ý nghĩa thống kê triệu chứng lo âu xã hội so với nhóm đối chứng (cùng bảng).</w:t>
      </w:r>
    </w:p>
    <w:p>
      <w:pPr>
        <w:jc w:val="both"/>
      </w:pPr>
      <w:r>
        <w:rPr>
          <w:rFonts w:ascii="Times New Roman" w:hAnsi="Times New Roman"/>
          <w:b w:val="0"/>
          <w:i/>
          <w:color w:val="CC0000"/>
          <w:sz w:val="24"/>
        </w:rPr>
        <w:t>Phản biện: RCT đa trung tâm — bằng chứng cao. SAD DƯỚI NGƯỠNG là dân số rất quan trọng (rất lớn về số lượng) — can thiệp ở giai đoạn này có thể NGĂN CHẶN tiến triển thành rối loạn đầy đủ, là chiến lược "indicated prevention". Mô hình iCBT TỰ HỌC HOÀN TOÀN có chi phí gần như bằng 0 sau khi phát triển nội dung — phù hợp triển khai đại trà cho Việt Nam qua web hoặc app. Đây là một trong hai mô hình khả thi nhất (cùng với mô hình GV cung cấp CBT của Sri Lanka) cho LMIC.</w:t>
      </w:r>
    </w:p>
    <w:p>
      <w:pPr>
        <w:pStyle w:val="Heading2"/>
      </w:pPr>
      <w:r>
        <w:rPr>
          <w:rFonts w:ascii="Times New Roman" w:hAnsi="Times New Roman"/>
          <w:color w:val="000000"/>
        </w:rPr>
        <w:t>2.6. Qiaochu &amp; Wang (2025) — SR 9 RCT về Mobile CBT</w:t>
      </w:r>
    </w:p>
    <w:p>
      <w:pPr>
        <w:jc w:val="both"/>
      </w:pPr>
      <w:r>
        <w:rPr>
          <w:rFonts w:ascii="Times New Roman" w:hAnsi="Times New Roman"/>
          <w:b w:val="0"/>
          <w:i w:val="0"/>
          <w:sz w:val="24"/>
        </w:rPr>
        <w:t>Tổng quan hệ thống 9 RCT về CBT cung cấp qua ứng dụng smartphone cho trầm cảm và lo âu ở trẻ em + người trẻ. Tổng N = 2.479. Đăng trên Clinical Psychology and Psychotherapy vol. 32(6), e70173 (Qiaochu &amp; Wang 2025). Bài này hiện chỉ có abstract qua paywall Wiley.</w:t>
      </w:r>
    </w:p>
    <w:p>
      <w:r>
        <w:rPr>
          <w:rFonts w:ascii="Times New Roman" w:hAnsi="Times New Roman"/>
          <w:b/>
          <w:i w:val="0"/>
          <w:sz w:val="24"/>
        </w:rPr>
        <w:t>Phát hiện then chốt (theo abstract Crossref):</w:t>
      </w:r>
    </w:p>
    <w:p>
      <w:pPr>
        <w:jc w:val="both"/>
      </w:pPr>
      <w:r>
        <w:rPr>
          <w:rFonts w:ascii="Times New Roman" w:hAnsi="Times New Roman"/>
          <w:b w:val="0"/>
          <w:i w:val="0"/>
          <w:sz w:val="24"/>
        </w:rPr>
        <w:t>• 7 trên 8 nghiên cứu (87,5 %) đo TRẦM CẢM cho thấy giảm có ý nghĩa thống kê.</w:t>
      </w:r>
    </w:p>
    <w:p>
      <w:pPr>
        <w:jc w:val="both"/>
      </w:pPr>
      <w:r>
        <w:rPr>
          <w:rFonts w:ascii="Times New Roman" w:hAnsi="Times New Roman"/>
          <w:b w:val="0"/>
          <w:i w:val="0"/>
          <w:sz w:val="24"/>
        </w:rPr>
        <w:t>• Chỉ 2 trên 6 nghiên cứu (33,3 %) đo LO ÂU cho thấy hiệu quả có ý nghĩa.</w:t>
      </w:r>
    </w:p>
    <w:p>
      <w:pPr>
        <w:jc w:val="both"/>
      </w:pPr>
      <w:r>
        <w:rPr>
          <w:rFonts w:ascii="Times New Roman" w:hAnsi="Times New Roman"/>
          <w:b w:val="0"/>
          <w:i w:val="0"/>
          <w:sz w:val="24"/>
        </w:rPr>
        <w:t>• Kết luận: Mobile CBT có hứa hẹn cho trầm cảm ở trẻ em và người trẻ, nhưng bằng chứng cho lo âu còn HẠN CHẾ.</w:t>
      </w:r>
    </w:p>
    <w:p>
      <w:pPr>
        <w:jc w:val="both"/>
      </w:pPr>
      <w:r>
        <w:rPr>
          <w:rFonts w:ascii="Times New Roman" w:hAnsi="Times New Roman"/>
          <w:b w:val="0"/>
          <w:i/>
          <w:color w:val="CC0000"/>
          <w:sz w:val="24"/>
        </w:rPr>
        <w:t>Phản biện: Phát hiện này tưởng chừng mâu thuẫn với Sasaki et al. 2024 (iCBT Nhật cho SAD dưới ngưỡng — dương tính) và Walder et al. 2025 (DMHI g = 0,878 cho SAD-specific). Lý do có thể: (1) các app trong Qiaochu &amp; Wang được thiết kế cho TRẦM CẢM tổng hợp, không SAD-specific; (2) "mobile" và "internet" là hai mô hình khác nhau (smartphone app vs web-based với hỗ trợ); (3) thiếu hướng dẫn người (guided support). Cần đối chiếu thêm khi có full PDF. Bài học cho Việt Nam: nếu phát triển app tiếng Việt, nên bắt đầu với module TRẦM CẢM (bằng chứng mạnh) trước khi mở rộng sang lo âu, hoặc chỉ làm app dành riêng cho lo âu xã hội với hướng dẫn người.</w:t>
      </w:r>
    </w:p>
    <w:p>
      <w:pPr>
        <w:pStyle w:val="Heading2"/>
      </w:pPr>
      <w:r>
        <w:rPr>
          <w:rFonts w:ascii="Times New Roman" w:hAnsi="Times New Roman"/>
          <w:color w:val="000000"/>
        </w:rPr>
        <w:t>2.7. Menon et al. (2025) — Scoping Review LMIC Đông Á – Thái Bình Dương</w:t>
      </w:r>
    </w:p>
    <w:p>
      <w:pPr>
        <w:jc w:val="both"/>
      </w:pPr>
      <w:r>
        <w:rPr>
          <w:rFonts w:ascii="Times New Roman" w:hAnsi="Times New Roman"/>
          <w:b w:val="0"/>
          <w:i w:val="0"/>
          <w:sz w:val="24"/>
        </w:rPr>
        <w:t>Tổng quan phạm vi (scoping review) về can thiệp sức khoẻ tâm thần và sức khoẻ tâm lý xã hội cho trẻ em + vị thành niên tại các nước thu nhập thấp – trung bình (LMIC) ở Đông Á và Thái Bình Dương. Tổng cộng 69 nghiên cứu từ 12 quốc gia: 32 RCT, 31 nghiên cứu trước–sau, 6 đánh giá sau can thiệp. Đăng trên Asia Pacific Journal of Public Health vol. 37(4), tr. 332–346 (Menon et al. 2025).</w:t>
      </w:r>
    </w:p>
    <w:p>
      <w:r>
        <w:rPr>
          <w:rFonts w:ascii="Times New Roman" w:hAnsi="Times New Roman"/>
          <w:b/>
          <w:i w:val="0"/>
          <w:sz w:val="24"/>
        </w:rPr>
        <w:t>Phát hiện then chốt (theo abstract Crossref):</w:t>
      </w:r>
    </w:p>
    <w:p>
      <w:pPr>
        <w:jc w:val="both"/>
      </w:pPr>
      <w:r>
        <w:rPr>
          <w:rFonts w:ascii="Times New Roman" w:hAnsi="Times New Roman"/>
          <w:b w:val="0"/>
          <w:i w:val="0"/>
          <w:sz w:val="24"/>
        </w:rPr>
        <w:t>• Có sự TẬP TRUNG MẤT CÂN ĐỐI vào "individual capacity" (năng lực cá nhân) và "clinical management" (quản lý lâm sàng).</w:t>
      </w:r>
    </w:p>
    <w:p>
      <w:pPr>
        <w:jc w:val="both"/>
      </w:pPr>
      <w:r>
        <w:rPr>
          <w:rFonts w:ascii="Times New Roman" w:hAnsi="Times New Roman"/>
          <w:b w:val="0"/>
          <w:i w:val="0"/>
          <w:sz w:val="24"/>
        </w:rPr>
        <w:t>• KHOẢNG TRỐNG ở: (a) thúc đẩy SK dựa CỘNG ĐỒNG; (b) phòng ngừa cấp GIA ĐÌNH; (c) dịch vụ ĐÁP ỨNG dài hạn.</w:t>
      </w:r>
    </w:p>
    <w:p>
      <w:pPr>
        <w:jc w:val="both"/>
      </w:pPr>
      <w:r>
        <w:rPr>
          <w:rFonts w:ascii="Times New Roman" w:hAnsi="Times New Roman"/>
          <w:b w:val="0"/>
          <w:i w:val="0"/>
          <w:sz w:val="24"/>
        </w:rPr>
        <w:t>• Phần lớn nghiên cứu tập trung tại Trung Quốc và Đông Nam Á; các nước nhỏ hơn và Thái Bình Dương có đại diện tối thiểu.</w:t>
      </w:r>
    </w:p>
    <w:p>
      <w:pPr>
        <w:jc w:val="both"/>
      </w:pPr>
      <w:r>
        <w:rPr>
          <w:rFonts w:ascii="Times New Roman" w:hAnsi="Times New Roman"/>
          <w:b w:val="0"/>
          <w:i/>
          <w:color w:val="CC0000"/>
          <w:sz w:val="24"/>
        </w:rPr>
        <w:t>Phản biện: Đây là CẢNH BÁO MẠNH cho dự án Việt Nam — không nên chỉ dừng lại ở can thiệp cấp cá nhân (CBT cho học sinh). Cần thiết kế can thiệp ĐA CẤP: cá nhân + GIA ĐÌNH + CỘNG ĐỒNG + dài hạn. Phù hợp đặc biệt với phát hiện của Dong, Wang &amp; Lin (2025, PLOS ONE 20(9):e0328785, Bảng 3 tr. 7) — kênh giao tiếp gia đình giảm 78 % nguy cơ trầm cảm (OR = 0,22) và Chen et al. (2025, J Affect Disord 374:408–432) — emotional functioning và family support là buffer chính trong COVID era. Gợi ý mạnh: thêm module GIA ĐÌNH vào thiết kế can thiệp Việt Nam.</w:t>
      </w:r>
    </w:p>
    <w:p>
      <w:pPr>
        <w:pStyle w:val="Heading2"/>
      </w:pPr>
      <w:r>
        <w:rPr>
          <w:rFonts w:ascii="Times New Roman" w:hAnsi="Times New Roman"/>
          <w:color w:val="000000"/>
        </w:rPr>
        <w:t>2.8. Li et al. (2025) — NMA Bayesian 30 RCT cho lo âu trẻ em</w:t>
      </w:r>
    </w:p>
    <w:p>
      <w:pPr>
        <w:jc w:val="both"/>
      </w:pPr>
      <w:r>
        <w:rPr>
          <w:rFonts w:ascii="Times New Roman" w:hAnsi="Times New Roman"/>
          <w:b w:val="0"/>
          <w:i w:val="0"/>
          <w:sz w:val="24"/>
        </w:rPr>
        <w:t>Phân tích tổng hợp mạng Bayesian 30 RCT về can thiệp cho rối loạn lo âu ở trẻ em. Đăng trên BMC Psychiatry vol. 25, article 809, tr. 1–14 (Li et al. 2025). PROSPERO CRD42024587910. Tổng cộng 1.711 người tham gia từ 12 quốc gia.</w:t>
      </w:r>
    </w:p>
    <w:p>
      <w:r>
        <w:rPr>
          <w:rFonts w:ascii="Times New Roman" w:hAnsi="Times New Roman"/>
          <w:b/>
          <w:i w:val="0"/>
          <w:sz w:val="24"/>
        </w:rPr>
        <w:t>Kết quả SUCRA (Li et al. 2025, Bảng 3 tr. 6):</w:t>
      </w:r>
    </w:p>
    <w:tbl>
      <w:tblPr>
        <w:tblStyle w:val="TableGrid"/>
        <w:tblW w:type="auto" w:w="0"/>
        <w:jc w:val="center"/>
        <w:tblLook w:firstColumn="1" w:firstRow="1" w:lastColumn="0" w:lastRow="0" w:noHBand="0" w:noVBand="1" w:val="04A0"/>
        <w:tblLayout w:type="fixed"/>
      </w:tblPr>
      <w:tblGrid>
        <w:gridCol w:w="1134"/>
        <w:gridCol w:w="850"/>
        <w:gridCol w:w="2551"/>
        <w:gridCol w:w="850"/>
        <w:gridCol w:w="3402"/>
      </w:tblGrid>
      <w:tr>
        <w:tc>
          <w:tcPr>
            <w:tcW w:w="1134" w:type="dxa"/>
            <w:shd w:fill="D9E2F3" w:val="clear"/>
          </w:tcPr>
          <w:p>
            <w:pPr>
              <w:jc w:val="center"/>
            </w:pPr>
            <w:r>
              <w:rPr>
                <w:rFonts w:ascii="Times New Roman" w:hAnsi="Times New Roman"/>
                <w:b/>
                <w:sz w:val="20"/>
              </w:rPr>
              <w:t>Liệu pháp</w:t>
            </w:r>
          </w:p>
        </w:tc>
        <w:tc>
          <w:tcPr>
            <w:tcW w:w="850" w:type="dxa"/>
            <w:shd w:fill="D9E2F3" w:val="clear"/>
          </w:tcPr>
          <w:p>
            <w:pPr>
              <w:jc w:val="center"/>
            </w:pPr>
            <w:r>
              <w:rPr>
                <w:rFonts w:ascii="Times New Roman" w:hAnsi="Times New Roman"/>
                <w:b/>
                <w:sz w:val="20"/>
              </w:rPr>
              <w:t>Số RCT</w:t>
            </w:r>
          </w:p>
        </w:tc>
        <w:tc>
          <w:tcPr>
            <w:tcW w:w="2551" w:type="dxa"/>
            <w:shd w:fill="D9E2F3" w:val="clear"/>
          </w:tcPr>
          <w:p>
            <w:pPr>
              <w:jc w:val="center"/>
            </w:pPr>
            <w:r>
              <w:rPr>
                <w:rFonts w:ascii="Times New Roman" w:hAnsi="Times New Roman"/>
                <w:b/>
                <w:sz w:val="20"/>
              </w:rPr>
              <w:t>MD (KTC 95 % CrI)</w:t>
            </w:r>
          </w:p>
        </w:tc>
        <w:tc>
          <w:tcPr>
            <w:tcW w:w="850" w:type="dxa"/>
            <w:shd w:fill="D9E2F3" w:val="clear"/>
          </w:tcPr>
          <w:p>
            <w:pPr>
              <w:jc w:val="center"/>
            </w:pPr>
            <w:r>
              <w:rPr>
                <w:rFonts w:ascii="Times New Roman" w:hAnsi="Times New Roman"/>
                <w:b/>
                <w:sz w:val="20"/>
              </w:rPr>
              <w:t>SUCRA</w:t>
            </w:r>
          </w:p>
        </w:tc>
        <w:tc>
          <w:tcPr>
            <w:tcW w:w="3402" w:type="dxa"/>
            <w:shd w:fill="D9E2F3" w:val="clear"/>
          </w:tcPr>
          <w:p>
            <w:pPr>
              <w:jc w:val="center"/>
            </w:pPr>
            <w:r>
              <w:rPr>
                <w:rFonts w:ascii="Times New Roman" w:hAnsi="Times New Roman"/>
                <w:b/>
                <w:sz w:val="20"/>
              </w:rPr>
              <w:t>Ghi chú</w:t>
            </w:r>
          </w:p>
        </w:tc>
      </w:tr>
      <w:tr>
        <w:tc>
          <w:tcPr>
            <w:tcW w:w="1134" w:type="dxa"/>
          </w:tcPr>
          <w:p>
            <w:r>
              <w:rPr>
                <w:rFonts w:ascii="Times New Roman" w:hAnsi="Times New Roman"/>
                <w:sz w:val="20"/>
              </w:rPr>
              <w:t>ACT</w:t>
            </w:r>
          </w:p>
        </w:tc>
        <w:tc>
          <w:tcPr>
            <w:tcW w:w="850" w:type="dxa"/>
          </w:tcPr>
          <w:p>
            <w:r>
              <w:rPr>
                <w:rFonts w:ascii="Times New Roman" w:hAnsi="Times New Roman"/>
                <w:sz w:val="20"/>
              </w:rPr>
              <w:t>6</w:t>
            </w:r>
          </w:p>
        </w:tc>
        <w:tc>
          <w:tcPr>
            <w:tcW w:w="2551" w:type="dxa"/>
          </w:tcPr>
          <w:p>
            <w:r>
              <w:rPr>
                <w:rFonts w:ascii="Times New Roman" w:hAnsi="Times New Roman"/>
                <w:sz w:val="20"/>
              </w:rPr>
              <w:t>−3,83 (−9,33 đến 1,51)</w:t>
            </w:r>
          </w:p>
        </w:tc>
        <w:tc>
          <w:tcPr>
            <w:tcW w:w="850" w:type="dxa"/>
          </w:tcPr>
          <w:p>
            <w:r>
              <w:rPr>
                <w:rFonts w:ascii="Times New Roman" w:hAnsi="Times New Roman"/>
                <w:sz w:val="20"/>
              </w:rPr>
              <w:t>0,69</w:t>
            </w:r>
          </w:p>
        </w:tc>
        <w:tc>
          <w:tcPr>
            <w:tcW w:w="3402" w:type="dxa"/>
          </w:tcPr>
          <w:p>
            <w:r>
              <w:rPr>
                <w:rFonts w:ascii="Times New Roman" w:hAnsi="Times New Roman"/>
                <w:sz w:val="20"/>
              </w:rPr>
              <w:t>Hạng 1 nhưng CrI bao gồm 0</w:t>
            </w:r>
          </w:p>
        </w:tc>
      </w:tr>
      <w:tr>
        <w:tc>
          <w:tcPr>
            <w:tcW w:w="1134" w:type="dxa"/>
          </w:tcPr>
          <w:p>
            <w:r>
              <w:rPr>
                <w:rFonts w:ascii="Times New Roman" w:hAnsi="Times New Roman"/>
                <w:sz w:val="20"/>
              </w:rPr>
              <w:t>CBT</w:t>
            </w:r>
          </w:p>
        </w:tc>
        <w:tc>
          <w:tcPr>
            <w:tcW w:w="850" w:type="dxa"/>
          </w:tcPr>
          <w:p>
            <w:r>
              <w:rPr>
                <w:rFonts w:ascii="Times New Roman" w:hAnsi="Times New Roman"/>
                <w:sz w:val="20"/>
              </w:rPr>
              <w:t>16</w:t>
            </w:r>
          </w:p>
        </w:tc>
        <w:tc>
          <w:tcPr>
            <w:tcW w:w="2551" w:type="dxa"/>
          </w:tcPr>
          <w:p>
            <w:r>
              <w:rPr>
                <w:rFonts w:ascii="Times New Roman" w:hAnsi="Times New Roman"/>
                <w:sz w:val="20"/>
              </w:rPr>
              <w:t>−3,64 (−7,36 đến −0,48)</w:t>
            </w:r>
          </w:p>
        </w:tc>
        <w:tc>
          <w:tcPr>
            <w:tcW w:w="850" w:type="dxa"/>
          </w:tcPr>
          <w:p>
            <w:r>
              <w:rPr>
                <w:rFonts w:ascii="Times New Roman" w:hAnsi="Times New Roman"/>
                <w:sz w:val="20"/>
              </w:rPr>
              <w:t>0,66</w:t>
            </w:r>
          </w:p>
        </w:tc>
        <w:tc>
          <w:tcPr>
            <w:tcW w:w="3402" w:type="dxa"/>
          </w:tcPr>
          <w:p>
            <w:r>
              <w:rPr>
                <w:rFonts w:ascii="Times New Roman" w:hAnsi="Times New Roman"/>
                <w:sz w:val="20"/>
              </w:rPr>
              <w:t>Hạng 2 — bằng chứng MẠNH NHẤT, CrI không qua 0</w:t>
            </w:r>
          </w:p>
        </w:tc>
      </w:tr>
      <w:tr>
        <w:tc>
          <w:tcPr>
            <w:tcW w:w="1134" w:type="dxa"/>
          </w:tcPr>
          <w:p>
            <w:r>
              <w:rPr>
                <w:rFonts w:ascii="Times New Roman" w:hAnsi="Times New Roman"/>
                <w:sz w:val="20"/>
              </w:rPr>
              <w:t>VRET</w:t>
            </w:r>
          </w:p>
        </w:tc>
        <w:tc>
          <w:tcPr>
            <w:tcW w:w="850" w:type="dxa"/>
          </w:tcPr>
          <w:p>
            <w:r>
              <w:rPr>
                <w:rFonts w:ascii="Times New Roman" w:hAnsi="Times New Roman"/>
                <w:sz w:val="20"/>
              </w:rPr>
              <w:t>6</w:t>
            </w:r>
          </w:p>
        </w:tc>
        <w:tc>
          <w:tcPr>
            <w:tcW w:w="2551" w:type="dxa"/>
          </w:tcPr>
          <w:p>
            <w:r>
              <w:rPr>
                <w:rFonts w:ascii="Times New Roman" w:hAnsi="Times New Roman"/>
                <w:sz w:val="20"/>
              </w:rPr>
              <w:t>−2,53 (−8,23 đến 3,32)</w:t>
            </w:r>
          </w:p>
        </w:tc>
        <w:tc>
          <w:tcPr>
            <w:tcW w:w="850" w:type="dxa"/>
          </w:tcPr>
          <w:p>
            <w:r>
              <w:rPr>
                <w:rFonts w:ascii="Times New Roman" w:hAnsi="Times New Roman"/>
                <w:sz w:val="20"/>
              </w:rPr>
              <w:t>0,51</w:t>
            </w:r>
          </w:p>
        </w:tc>
        <w:tc>
          <w:tcPr>
            <w:tcW w:w="3402" w:type="dxa"/>
          </w:tcPr>
          <w:p>
            <w:r>
              <w:rPr>
                <w:rFonts w:ascii="Times New Roman" w:hAnsi="Times New Roman"/>
                <w:sz w:val="20"/>
              </w:rPr>
              <w:t>Hạng 3, CrI rộng</w:t>
            </w:r>
          </w:p>
        </w:tc>
      </w:tr>
      <w:tr>
        <w:tc>
          <w:tcPr>
            <w:tcW w:w="1134" w:type="dxa"/>
          </w:tcPr>
          <w:p>
            <w:r>
              <w:rPr>
                <w:rFonts w:ascii="Times New Roman" w:hAnsi="Times New Roman"/>
                <w:sz w:val="20"/>
              </w:rPr>
              <w:t>PE</w:t>
            </w:r>
          </w:p>
        </w:tc>
        <w:tc>
          <w:tcPr>
            <w:tcW w:w="850" w:type="dxa"/>
          </w:tcPr>
          <w:p>
            <w:r>
              <w:rPr>
                <w:rFonts w:ascii="Times New Roman" w:hAnsi="Times New Roman"/>
                <w:sz w:val="20"/>
              </w:rPr>
              <w:t>2</w:t>
            </w:r>
          </w:p>
        </w:tc>
        <w:tc>
          <w:tcPr>
            <w:tcW w:w="2551" w:type="dxa"/>
          </w:tcPr>
          <w:p>
            <w:r>
              <w:rPr>
                <w:rFonts w:ascii="Times New Roman" w:hAnsi="Times New Roman"/>
                <w:sz w:val="20"/>
              </w:rPr>
              <w:t>−2,16 (−9,99 đến 5,52)</w:t>
            </w:r>
          </w:p>
        </w:tc>
        <w:tc>
          <w:tcPr>
            <w:tcW w:w="850" w:type="dxa"/>
          </w:tcPr>
          <w:p>
            <w:r>
              <w:rPr>
                <w:rFonts w:ascii="Times New Roman" w:hAnsi="Times New Roman"/>
                <w:sz w:val="20"/>
              </w:rPr>
              <w:t>0,51</w:t>
            </w:r>
          </w:p>
        </w:tc>
        <w:tc>
          <w:tcPr>
            <w:tcW w:w="3402" w:type="dxa"/>
          </w:tcPr>
          <w:p>
            <w:r>
              <w:rPr>
                <w:rFonts w:ascii="Times New Roman" w:hAnsi="Times New Roman"/>
                <w:sz w:val="20"/>
              </w:rPr>
              <w:t>Hạng 4 — chỉ 2 RCT</w:t>
            </w:r>
          </w:p>
        </w:tc>
      </w:tr>
      <w:tr>
        <w:tc>
          <w:tcPr>
            <w:tcW w:w="1134" w:type="dxa"/>
          </w:tcPr>
          <w:p>
            <w:r>
              <w:rPr>
                <w:rFonts w:ascii="Times New Roman" w:hAnsi="Times New Roman"/>
                <w:sz w:val="20"/>
              </w:rPr>
              <w:t>Đối chứng</w:t>
            </w:r>
          </w:p>
        </w:tc>
        <w:tc>
          <w:tcPr>
            <w:tcW w:w="850" w:type="dxa"/>
          </w:tcPr>
          <w:p>
            <w:r>
              <w:rPr>
                <w:rFonts w:ascii="Times New Roman" w:hAnsi="Times New Roman"/>
                <w:sz w:val="20"/>
              </w:rPr>
              <w:t>—</w:t>
            </w:r>
          </w:p>
        </w:tc>
        <w:tc>
          <w:tcPr>
            <w:tcW w:w="2551" w:type="dxa"/>
          </w:tcPr>
          <w:p>
            <w:r>
              <w:rPr>
                <w:rFonts w:ascii="Times New Roman" w:hAnsi="Times New Roman"/>
                <w:sz w:val="20"/>
              </w:rPr>
              <w:t>Ref</w:t>
            </w:r>
          </w:p>
        </w:tc>
        <w:tc>
          <w:tcPr>
            <w:tcW w:w="850" w:type="dxa"/>
          </w:tcPr>
          <w:p>
            <w:r>
              <w:rPr>
                <w:rFonts w:ascii="Times New Roman" w:hAnsi="Times New Roman"/>
                <w:sz w:val="20"/>
              </w:rPr>
              <w:t>—</w:t>
            </w:r>
          </w:p>
        </w:tc>
        <w:tc>
          <w:tcPr>
            <w:tcW w:w="3402" w:type="dxa"/>
          </w:tcPr>
          <w:p>
            <w:r>
              <w:rPr>
                <w:rFonts w:ascii="Times New Roman" w:hAnsi="Times New Roman"/>
                <w:sz w:val="20"/>
              </w:rPr>
              <w:t>—</w:t>
            </w:r>
          </w:p>
        </w:tc>
      </w:tr>
    </w:tbl>
    <w:p>
      <w:r>
        <w:rPr>
          <w:rFonts w:ascii="Times New Roman" w:hAnsi="Times New Roman"/>
          <w:b w:val="0"/>
          <w:i/>
          <w:sz w:val="20"/>
        </w:rPr>
        <w:t>Bảng 5. SUCRA của các can thiệp cho lo âu trẻ em. Nguồn: Li et al. 2025, BMC Psychiatry 25:809, Bảng 3 tr. 6. ACT = Acceptance and Commitment Therapy; VRET = Virtual Reality Exposure Therapy; PE = Physical Exercise.</w:t>
      </w:r>
    </w:p>
    <w:p>
      <w:pPr>
        <w:jc w:val="center"/>
      </w:pPr>
      <w:r>
        <w:drawing>
          <wp:inline xmlns:a="http://schemas.openxmlformats.org/drawingml/2006/main" xmlns:pic="http://schemas.openxmlformats.org/drawingml/2006/picture">
            <wp:extent cx="5580000" cy="3093944"/>
            <wp:docPr id="5" name="Picture 5"/>
            <wp:cNvGraphicFramePr>
              <a:graphicFrameLocks noChangeAspect="1"/>
            </wp:cNvGraphicFramePr>
            <a:graphic>
              <a:graphicData uri="http://schemas.openxmlformats.org/drawingml/2006/picture">
                <pic:pic>
                  <pic:nvPicPr>
                    <pic:cNvPr id="0" name="chart7_BMC_NMA_Li.png"/>
                    <pic:cNvPicPr/>
                  </pic:nvPicPr>
                  <pic:blipFill>
                    <a:blip r:embed="rId13"/>
                    <a:stretch>
                      <a:fillRect/>
                    </a:stretch>
                  </pic:blipFill>
                  <pic:spPr>
                    <a:xfrm>
                      <a:off x="0" y="0"/>
                      <a:ext cx="5580000" cy="3093944"/>
                    </a:xfrm>
                    <a:prstGeom prst="rect"/>
                  </pic:spPr>
                </pic:pic>
              </a:graphicData>
            </a:graphic>
          </wp:inline>
        </w:drawing>
      </w:r>
    </w:p>
    <w:p>
      <w:pPr>
        <w:jc w:val="both"/>
      </w:pPr>
      <w:r>
        <w:rPr>
          <w:rFonts w:ascii="Times New Roman" w:hAnsi="Times New Roman"/>
          <w:b w:val="0"/>
          <w:i/>
          <w:color w:val="CC0000"/>
          <w:sz w:val="24"/>
        </w:rPr>
        <w:t>Phản biện: Đáng chú ý ACT (Acceptance and Commitment Therapy) có SUCRA cao nhất 0,69 — BẤT NGỜ vì CBT thường được coi là hàng đầu. Tuy nhiên CrI của ACT bao gồm 0 (−9,33 đến +1,51), nên kết quả không có ý nghĩa thống kê chắc chắn. CBT xếp hạng 2 nhưng có CrI KHÔNG bao gồm 0 (−7,36 đến −0,48) và có 16 RCT (so với 6 cho ACT) — bằng chứng vững chắc nhất. PE chỉ có 2 RCT — cần thêm nghiên cứu. Cho Việt Nam: ưu tiên CBT là cốt lõi, có thể thử nghiệm ACT bổ trợ (mô hình mới), tích hợp PE vì dễ triển khai tại trường.</w:t>
      </w:r>
    </w:p>
    <w:p>
      <w:r>
        <w:br w:type="page"/>
      </w:r>
    </w:p>
    <w:p>
      <w:pPr>
        <w:pStyle w:val="Heading1"/>
      </w:pPr>
      <w:r>
        <w:rPr>
          <w:rFonts w:ascii="Times New Roman" w:hAnsi="Times New Roman"/>
          <w:color w:val="000000"/>
        </w:rPr>
        <w:t>PHẦN III — CHÂU ÂU – CHÂU ÚC – CHÂU MỸ</w:t>
      </w:r>
    </w:p>
    <w:p>
      <w:pPr>
        <w:jc w:val="both"/>
      </w:pPr>
      <w:r>
        <w:rPr>
          <w:rFonts w:ascii="Times New Roman" w:hAnsi="Times New Roman"/>
          <w:b w:val="0"/>
          <w:i/>
          <w:sz w:val="24"/>
        </w:rPr>
        <w:t>Phần này tổng hợp 7 công trình từ Anh, Mỹ và phân tích tổng hợp quốc tế đăng trên các tạp chí phương Tây — bao gồm cả các MA quốc tế dựa chủ yếu trên RCT phương Tây. Đây là vùng có bằng chứng lâu dài và phong phú nhất, cung cấp nền tảng phương pháp luận và các mô hình "gold standard" cho thiết kế can thiệp tại Việt Nam.</w:t>
      </w:r>
    </w:p>
    <w:p>
      <w:pPr>
        <w:pStyle w:val="Heading2"/>
      </w:pPr>
      <w:r>
        <w:rPr>
          <w:rFonts w:ascii="Times New Roman" w:hAnsi="Times New Roman"/>
          <w:color w:val="000000"/>
        </w:rPr>
        <w:t>3.1. Tổng quan 7 nghiên cứu can thiệp Châu Âu – Úc – Mỹ</w:t>
      </w:r>
    </w:p>
    <w:tbl>
      <w:tblPr>
        <w:tblStyle w:val="TableGrid"/>
        <w:tblW w:type="auto" w:w="0"/>
        <w:jc w:val="center"/>
        <w:tblLook w:firstColumn="1" w:firstRow="1" w:lastColumn="0" w:lastRow="0" w:noHBand="0" w:noVBand="1" w:val="04A0"/>
        <w:tblLayout w:type="fixed"/>
      </w:tblPr>
      <w:tblGrid>
        <w:gridCol w:w="453"/>
        <w:gridCol w:w="1814"/>
        <w:gridCol w:w="1020"/>
        <w:gridCol w:w="1360"/>
        <w:gridCol w:w="1757"/>
        <w:gridCol w:w="2381"/>
      </w:tblGrid>
      <w:tr>
        <w:tc>
          <w:tcPr>
            <w:tcW w:w="453" w:type="dxa"/>
            <w:shd w:fill="D9E2F3" w:val="clear"/>
          </w:tcPr>
          <w:p>
            <w:pPr>
              <w:jc w:val="center"/>
            </w:pPr>
            <w:r>
              <w:rPr>
                <w:rFonts w:ascii="Times New Roman" w:hAnsi="Times New Roman"/>
                <w:b/>
                <w:sz w:val="20"/>
              </w:rPr>
              <w:t>#</w:t>
            </w:r>
          </w:p>
        </w:tc>
        <w:tc>
          <w:tcPr>
            <w:tcW w:w="1814" w:type="dxa"/>
            <w:shd w:fill="D9E2F3" w:val="clear"/>
          </w:tcPr>
          <w:p>
            <w:pPr>
              <w:jc w:val="center"/>
            </w:pPr>
            <w:r>
              <w:rPr>
                <w:rFonts w:ascii="Times New Roman" w:hAnsi="Times New Roman"/>
                <w:b/>
                <w:sz w:val="20"/>
              </w:rPr>
              <w:t>Tác giả / Năm</w:t>
            </w:r>
          </w:p>
        </w:tc>
        <w:tc>
          <w:tcPr>
            <w:tcW w:w="1020" w:type="dxa"/>
            <w:shd w:fill="D9E2F3" w:val="clear"/>
          </w:tcPr>
          <w:p>
            <w:pPr>
              <w:jc w:val="center"/>
            </w:pPr>
            <w:r>
              <w:rPr>
                <w:rFonts w:ascii="Times New Roman" w:hAnsi="Times New Roman"/>
                <w:b/>
                <w:sz w:val="20"/>
              </w:rPr>
              <w:t>Vùng</w:t>
            </w:r>
          </w:p>
        </w:tc>
        <w:tc>
          <w:tcPr>
            <w:tcW w:w="1360" w:type="dxa"/>
            <w:shd w:fill="D9E2F3" w:val="clear"/>
          </w:tcPr>
          <w:p>
            <w:pPr>
              <w:jc w:val="center"/>
            </w:pPr>
            <w:r>
              <w:rPr>
                <w:rFonts w:ascii="Times New Roman" w:hAnsi="Times New Roman"/>
                <w:b/>
                <w:sz w:val="20"/>
              </w:rPr>
              <w:t>Loại nghiên cứu</w:t>
            </w:r>
          </w:p>
        </w:tc>
        <w:tc>
          <w:tcPr>
            <w:tcW w:w="1757" w:type="dxa"/>
            <w:shd w:fill="D9E2F3" w:val="clear"/>
          </w:tcPr>
          <w:p>
            <w:pPr>
              <w:jc w:val="center"/>
            </w:pPr>
            <w:r>
              <w:rPr>
                <w:rFonts w:ascii="Times New Roman" w:hAnsi="Times New Roman"/>
                <w:b/>
                <w:sz w:val="20"/>
              </w:rPr>
              <w:t>Mẫu / Cỡ mẫu</w:t>
            </w:r>
          </w:p>
        </w:tc>
        <w:tc>
          <w:tcPr>
            <w:tcW w:w="2381" w:type="dxa"/>
            <w:shd w:fill="D9E2F3" w:val="clear"/>
          </w:tcPr>
          <w:p>
            <w:pPr>
              <w:jc w:val="center"/>
            </w:pPr>
            <w:r>
              <w:rPr>
                <w:rFonts w:ascii="Times New Roman" w:hAnsi="Times New Roman"/>
                <w:b/>
                <w:sz w:val="20"/>
              </w:rPr>
              <w:t>Phát hiện then chốt</w:t>
            </w:r>
          </w:p>
        </w:tc>
      </w:tr>
      <w:tr>
        <w:tc>
          <w:tcPr>
            <w:tcW w:w="453" w:type="dxa"/>
          </w:tcPr>
          <w:p>
            <w:r>
              <w:rPr>
                <w:rFonts w:ascii="Times New Roman" w:hAnsi="Times New Roman"/>
                <w:sz w:val="20"/>
              </w:rPr>
              <w:t>44</w:t>
            </w:r>
          </w:p>
        </w:tc>
        <w:tc>
          <w:tcPr>
            <w:tcW w:w="1814" w:type="dxa"/>
          </w:tcPr>
          <w:p>
            <w:r>
              <w:rPr>
                <w:rFonts w:ascii="Times New Roman" w:hAnsi="Times New Roman"/>
                <w:sz w:val="20"/>
              </w:rPr>
              <w:t>Walder et al. 2025</w:t>
            </w:r>
          </w:p>
        </w:tc>
        <w:tc>
          <w:tcPr>
            <w:tcW w:w="1020" w:type="dxa"/>
          </w:tcPr>
          <w:p>
            <w:r>
              <w:rPr>
                <w:rFonts w:ascii="Times New Roman" w:hAnsi="Times New Roman"/>
                <w:sz w:val="20"/>
              </w:rPr>
              <w:t>Quốc tế (JMIR)</w:t>
            </w:r>
          </w:p>
        </w:tc>
        <w:tc>
          <w:tcPr>
            <w:tcW w:w="1360" w:type="dxa"/>
          </w:tcPr>
          <w:p>
            <w:r>
              <w:rPr>
                <w:rFonts w:ascii="Times New Roman" w:hAnsi="Times New Roman"/>
                <w:sz w:val="20"/>
              </w:rPr>
              <w:t>MA 21 RCT</w:t>
            </w:r>
          </w:p>
        </w:tc>
        <w:tc>
          <w:tcPr>
            <w:tcW w:w="1757" w:type="dxa"/>
          </w:tcPr>
          <w:p>
            <w:r>
              <w:rPr>
                <w:rFonts w:ascii="Times New Roman" w:hAnsi="Times New Roman"/>
                <w:sz w:val="20"/>
              </w:rPr>
              <w:t>Trẻ + VTN + thanh niên SAD</w:t>
            </w:r>
          </w:p>
        </w:tc>
        <w:tc>
          <w:tcPr>
            <w:tcW w:w="2381" w:type="dxa"/>
          </w:tcPr>
          <w:p>
            <w:r>
              <w:rPr>
                <w:rFonts w:ascii="Times New Roman" w:hAnsi="Times New Roman"/>
                <w:sz w:val="20"/>
              </w:rPr>
              <w:t>DMHI g = 0,508; SAD-specific 0,878</w:t>
            </w:r>
          </w:p>
        </w:tc>
      </w:tr>
      <w:tr>
        <w:tc>
          <w:tcPr>
            <w:tcW w:w="453" w:type="dxa"/>
          </w:tcPr>
          <w:p>
            <w:r>
              <w:rPr>
                <w:rFonts w:ascii="Times New Roman" w:hAnsi="Times New Roman"/>
                <w:sz w:val="20"/>
              </w:rPr>
              <w:t>49</w:t>
            </w:r>
          </w:p>
        </w:tc>
        <w:tc>
          <w:tcPr>
            <w:tcW w:w="1814" w:type="dxa"/>
          </w:tcPr>
          <w:p>
            <w:r>
              <w:rPr>
                <w:rFonts w:ascii="Times New Roman" w:hAnsi="Times New Roman"/>
                <w:sz w:val="20"/>
              </w:rPr>
              <w:t>Bress et al. 2024</w:t>
            </w:r>
          </w:p>
        </w:tc>
        <w:tc>
          <w:tcPr>
            <w:tcW w:w="1020" w:type="dxa"/>
          </w:tcPr>
          <w:p>
            <w:r>
              <w:rPr>
                <w:rFonts w:ascii="Times New Roman" w:hAnsi="Times New Roman"/>
                <w:sz w:val="20"/>
              </w:rPr>
              <w:t>Mỹ</w:t>
            </w:r>
          </w:p>
        </w:tc>
        <w:tc>
          <w:tcPr>
            <w:tcW w:w="1360" w:type="dxa"/>
          </w:tcPr>
          <w:p>
            <w:r>
              <w:rPr>
                <w:rFonts w:ascii="Times New Roman" w:hAnsi="Times New Roman"/>
                <w:sz w:val="20"/>
              </w:rPr>
              <w:t>RCT</w:t>
            </w:r>
          </w:p>
        </w:tc>
        <w:tc>
          <w:tcPr>
            <w:tcW w:w="1757" w:type="dxa"/>
          </w:tcPr>
          <w:p>
            <w:r>
              <w:rPr>
                <w:rFonts w:ascii="Times New Roman" w:hAnsi="Times New Roman"/>
                <w:sz w:val="20"/>
              </w:rPr>
              <w:t>59 thanh niên 18–25 tuổi</w:t>
            </w:r>
          </w:p>
        </w:tc>
        <w:tc>
          <w:tcPr>
            <w:tcW w:w="2381" w:type="dxa"/>
          </w:tcPr>
          <w:p>
            <w:r>
              <w:rPr>
                <w:rFonts w:ascii="Times New Roman" w:hAnsi="Times New Roman"/>
                <w:sz w:val="20"/>
              </w:rPr>
              <w:t>Maya app: HAM-A d = 1,04 (12 tuần)</w:t>
            </w:r>
          </w:p>
        </w:tc>
      </w:tr>
      <w:tr>
        <w:tc>
          <w:tcPr>
            <w:tcW w:w="453" w:type="dxa"/>
          </w:tcPr>
          <w:p>
            <w:r>
              <w:rPr>
                <w:rFonts w:ascii="Times New Roman" w:hAnsi="Times New Roman"/>
                <w:sz w:val="20"/>
              </w:rPr>
              <w:t>48</w:t>
            </w:r>
          </w:p>
        </w:tc>
        <w:tc>
          <w:tcPr>
            <w:tcW w:w="1814" w:type="dxa"/>
          </w:tcPr>
          <w:p>
            <w:r>
              <w:rPr>
                <w:rFonts w:ascii="Times New Roman" w:hAnsi="Times New Roman"/>
                <w:sz w:val="20"/>
              </w:rPr>
              <w:t>Brown &amp; Carter 2025</w:t>
            </w:r>
          </w:p>
        </w:tc>
        <w:tc>
          <w:tcPr>
            <w:tcW w:w="1020" w:type="dxa"/>
          </w:tcPr>
          <w:p>
            <w:r>
              <w:rPr>
                <w:rFonts w:ascii="Times New Roman" w:hAnsi="Times New Roman"/>
                <w:sz w:val="20"/>
              </w:rPr>
              <w:t>Anh quốc</w:t>
            </w:r>
          </w:p>
        </w:tc>
        <w:tc>
          <w:tcPr>
            <w:tcW w:w="1360" w:type="dxa"/>
          </w:tcPr>
          <w:p>
            <w:r>
              <w:rPr>
                <w:rFonts w:ascii="Times New Roman" w:hAnsi="Times New Roman"/>
                <w:sz w:val="20"/>
              </w:rPr>
              <w:t>Editorial Q1</w:t>
            </w:r>
          </w:p>
        </w:tc>
        <w:tc>
          <w:tcPr>
            <w:tcW w:w="1757" w:type="dxa"/>
          </w:tcPr>
          <w:p>
            <w:r>
              <w:rPr>
                <w:rFonts w:ascii="Times New Roman" w:hAnsi="Times New Roman"/>
                <w:sz w:val="20"/>
              </w:rPr>
              <w:t>—</w:t>
            </w:r>
          </w:p>
        </w:tc>
        <w:tc>
          <w:tcPr>
            <w:tcW w:w="2381" w:type="dxa"/>
          </w:tcPr>
          <w:p>
            <w:r>
              <w:rPr>
                <w:rFonts w:ascii="Times New Roman" w:hAnsi="Times New Roman"/>
                <w:sz w:val="20"/>
              </w:rPr>
              <w:t>Mindfulness phổ quát 8.376 HS thất bại; BESST 900 HS dương tính</w:t>
            </w:r>
          </w:p>
        </w:tc>
      </w:tr>
      <w:tr>
        <w:tc>
          <w:tcPr>
            <w:tcW w:w="453" w:type="dxa"/>
          </w:tcPr>
          <w:p>
            <w:r>
              <w:rPr>
                <w:rFonts w:ascii="Times New Roman" w:hAnsi="Times New Roman"/>
                <w:sz w:val="20"/>
              </w:rPr>
              <w:t>50</w:t>
            </w:r>
          </w:p>
        </w:tc>
        <w:tc>
          <w:tcPr>
            <w:tcW w:w="1814" w:type="dxa"/>
          </w:tcPr>
          <w:p>
            <w:r>
              <w:rPr>
                <w:rFonts w:ascii="Times New Roman" w:hAnsi="Times New Roman"/>
                <w:sz w:val="20"/>
              </w:rPr>
              <w:t>Cao et al. 2025</w:t>
            </w:r>
          </w:p>
        </w:tc>
        <w:tc>
          <w:tcPr>
            <w:tcW w:w="1020" w:type="dxa"/>
          </w:tcPr>
          <w:p>
            <w:r>
              <w:rPr>
                <w:rFonts w:ascii="Times New Roman" w:hAnsi="Times New Roman"/>
                <w:sz w:val="20"/>
              </w:rPr>
              <w:t>Quốc tế</w:t>
            </w:r>
          </w:p>
        </w:tc>
        <w:tc>
          <w:tcPr>
            <w:tcW w:w="1360" w:type="dxa"/>
          </w:tcPr>
          <w:p>
            <w:r>
              <w:rPr>
                <w:rFonts w:ascii="Times New Roman" w:hAnsi="Times New Roman"/>
                <w:sz w:val="20"/>
              </w:rPr>
              <w:t>SR + MA RCT</w:t>
            </w:r>
          </w:p>
        </w:tc>
        <w:tc>
          <w:tcPr>
            <w:tcW w:w="1757" w:type="dxa"/>
          </w:tcPr>
          <w:p>
            <w:r>
              <w:rPr>
                <w:rFonts w:ascii="Times New Roman" w:hAnsi="Times New Roman"/>
                <w:sz w:val="20"/>
              </w:rPr>
              <w:t>Trẻ + VTN</w:t>
            </w:r>
          </w:p>
        </w:tc>
        <w:tc>
          <w:tcPr>
            <w:tcW w:w="2381" w:type="dxa"/>
          </w:tcPr>
          <w:p>
            <w:r>
              <w:rPr>
                <w:rFonts w:ascii="Times New Roman" w:hAnsi="Times New Roman"/>
                <w:sz w:val="20"/>
              </w:rPr>
              <w:t>Resilience trường: hiệu ứng nhỏ–TB; heterogeneity cao</w:t>
            </w:r>
          </w:p>
        </w:tc>
      </w:tr>
      <w:tr>
        <w:tc>
          <w:tcPr>
            <w:tcW w:w="453" w:type="dxa"/>
          </w:tcPr>
          <w:p>
            <w:r>
              <w:rPr>
                <w:rFonts w:ascii="Times New Roman" w:hAnsi="Times New Roman"/>
                <w:sz w:val="20"/>
              </w:rPr>
              <w:t>56*</w:t>
            </w:r>
          </w:p>
        </w:tc>
        <w:tc>
          <w:tcPr>
            <w:tcW w:w="1814" w:type="dxa"/>
          </w:tcPr>
          <w:p>
            <w:r>
              <w:rPr>
                <w:rFonts w:ascii="Times New Roman" w:hAnsi="Times New Roman"/>
                <w:sz w:val="20"/>
              </w:rPr>
              <w:t>Zhang, Liang &amp; Kang 2026</w:t>
            </w:r>
          </w:p>
        </w:tc>
        <w:tc>
          <w:tcPr>
            <w:tcW w:w="1020" w:type="dxa"/>
          </w:tcPr>
          <w:p>
            <w:r>
              <w:rPr>
                <w:rFonts w:ascii="Times New Roman" w:hAnsi="Times New Roman"/>
                <w:sz w:val="20"/>
              </w:rPr>
              <w:t>Quốc tế</w:t>
            </w:r>
          </w:p>
        </w:tc>
        <w:tc>
          <w:tcPr>
            <w:tcW w:w="1360" w:type="dxa"/>
          </w:tcPr>
          <w:p>
            <w:r>
              <w:rPr>
                <w:rFonts w:ascii="Times New Roman" w:hAnsi="Times New Roman"/>
                <w:sz w:val="20"/>
              </w:rPr>
              <w:t>Bayesian MA 31 RCT</w:t>
            </w:r>
          </w:p>
        </w:tc>
        <w:tc>
          <w:tcPr>
            <w:tcW w:w="1757" w:type="dxa"/>
          </w:tcPr>
          <w:p>
            <w:r>
              <w:rPr>
                <w:rFonts w:ascii="Times New Roman" w:hAnsi="Times New Roman"/>
                <w:sz w:val="20"/>
              </w:rPr>
              <w:t>19.865 HS nguy cơ thấp</w:t>
            </w:r>
          </w:p>
        </w:tc>
        <w:tc>
          <w:tcPr>
            <w:tcW w:w="2381" w:type="dxa"/>
          </w:tcPr>
          <w:p>
            <w:r>
              <w:rPr>
                <w:rFonts w:ascii="Times New Roman" w:hAnsi="Times New Roman"/>
                <w:sz w:val="20"/>
              </w:rPr>
              <w:t>CBT phổ quát: hiệu ứng NHỎ; chất lượng nền THẤP</w:t>
            </w:r>
          </w:p>
        </w:tc>
      </w:tr>
      <w:tr>
        <w:tc>
          <w:tcPr>
            <w:tcW w:w="453" w:type="dxa"/>
          </w:tcPr>
          <w:p>
            <w:r>
              <w:rPr>
                <w:rFonts w:ascii="Times New Roman" w:hAnsi="Times New Roman"/>
                <w:sz w:val="20"/>
              </w:rPr>
              <w:t>28</w:t>
            </w:r>
          </w:p>
        </w:tc>
        <w:tc>
          <w:tcPr>
            <w:tcW w:w="1814" w:type="dxa"/>
          </w:tcPr>
          <w:p>
            <w:r>
              <w:rPr>
                <w:rFonts w:ascii="Times New Roman" w:hAnsi="Times New Roman"/>
                <w:sz w:val="20"/>
              </w:rPr>
              <w:t>Zugman et al. 2024</w:t>
            </w:r>
          </w:p>
        </w:tc>
        <w:tc>
          <w:tcPr>
            <w:tcW w:w="1020" w:type="dxa"/>
          </w:tcPr>
          <w:p>
            <w:r>
              <w:rPr>
                <w:rFonts w:ascii="Times New Roman" w:hAnsi="Times New Roman"/>
                <w:sz w:val="20"/>
              </w:rPr>
              <w:t>Mỹ</w:t>
            </w:r>
          </w:p>
        </w:tc>
        <w:tc>
          <w:tcPr>
            <w:tcW w:w="1360" w:type="dxa"/>
          </w:tcPr>
          <w:p>
            <w:r>
              <w:rPr>
                <w:rFonts w:ascii="Times New Roman" w:hAnsi="Times New Roman"/>
                <w:sz w:val="20"/>
              </w:rPr>
              <w:t>Review treatment</w:t>
            </w:r>
          </w:p>
        </w:tc>
        <w:tc>
          <w:tcPr>
            <w:tcW w:w="1757" w:type="dxa"/>
          </w:tcPr>
          <w:p>
            <w:r>
              <w:rPr>
                <w:rFonts w:ascii="Times New Roman" w:hAnsi="Times New Roman"/>
                <w:sz w:val="20"/>
              </w:rPr>
              <w:t>VTN</w:t>
            </w:r>
          </w:p>
        </w:tc>
        <w:tc>
          <w:tcPr>
            <w:tcW w:w="2381" w:type="dxa"/>
          </w:tcPr>
          <w:p>
            <w:r>
              <w:rPr>
                <w:rFonts w:ascii="Times New Roman" w:hAnsi="Times New Roman"/>
                <w:sz w:val="20"/>
              </w:rPr>
              <w:t>Tổng quan CBT + SSRI; trích dẫn CAMS NEJM</w:t>
            </w:r>
          </w:p>
        </w:tc>
      </w:tr>
      <w:tr>
        <w:tc>
          <w:tcPr>
            <w:tcW w:w="453" w:type="dxa"/>
          </w:tcPr>
          <w:p>
            <w:r>
              <w:rPr>
                <w:rFonts w:ascii="Times New Roman" w:hAnsi="Times New Roman"/>
                <w:sz w:val="20"/>
              </w:rPr>
              <w:t>—</w:t>
            </w:r>
          </w:p>
        </w:tc>
        <w:tc>
          <w:tcPr>
            <w:tcW w:w="1814" w:type="dxa"/>
          </w:tcPr>
          <w:p>
            <w:r>
              <w:rPr>
                <w:rFonts w:ascii="Times New Roman" w:hAnsi="Times New Roman"/>
                <w:sz w:val="20"/>
              </w:rPr>
              <w:t>Walkup et al. 2008</w:t>
            </w:r>
          </w:p>
        </w:tc>
        <w:tc>
          <w:tcPr>
            <w:tcW w:w="1020" w:type="dxa"/>
          </w:tcPr>
          <w:p>
            <w:r>
              <w:rPr>
                <w:rFonts w:ascii="Times New Roman" w:hAnsi="Times New Roman"/>
                <w:sz w:val="20"/>
              </w:rPr>
              <w:t>Mỹ</w:t>
            </w:r>
          </w:p>
        </w:tc>
        <w:tc>
          <w:tcPr>
            <w:tcW w:w="1360" w:type="dxa"/>
          </w:tcPr>
          <w:p>
            <w:r>
              <w:rPr>
                <w:rFonts w:ascii="Times New Roman" w:hAnsi="Times New Roman"/>
                <w:sz w:val="20"/>
              </w:rPr>
              <w:t>RCT đa trung tâm</w:t>
            </w:r>
          </w:p>
        </w:tc>
        <w:tc>
          <w:tcPr>
            <w:tcW w:w="1757" w:type="dxa"/>
          </w:tcPr>
          <w:p>
            <w:r>
              <w:rPr>
                <w:rFonts w:ascii="Times New Roman" w:hAnsi="Times New Roman"/>
                <w:sz w:val="20"/>
              </w:rPr>
              <w:t>488 trẻ 7–17 tuổi</w:t>
            </w:r>
          </w:p>
        </w:tc>
        <w:tc>
          <w:tcPr>
            <w:tcW w:w="2381" w:type="dxa"/>
          </w:tcPr>
          <w:p>
            <w:r>
              <w:rPr>
                <w:rFonts w:ascii="Times New Roman" w:hAnsi="Times New Roman"/>
                <w:sz w:val="20"/>
              </w:rPr>
              <w:t>CBT + SSRI 80,7 %; CBT đơn 59,7 %; SSRI 54,9 %; placebo 23,7 %</w:t>
            </w:r>
          </w:p>
        </w:tc>
      </w:tr>
    </w:tbl>
    <w:p>
      <w:r>
        <w:rPr>
          <w:rFonts w:ascii="Times New Roman" w:hAnsi="Times New Roman"/>
          <w:b w:val="0"/>
          <w:i/>
          <w:sz w:val="20"/>
        </w:rPr>
        <w:t>Bảng 6. Tổng quan 7 nghiên cứu can thiệp Châu Âu – Úc – Mỹ. * Bài 56 chỉ có abstract (paywall Wiley).</w:t>
      </w:r>
    </w:p>
    <w:p>
      <w:pPr>
        <w:pStyle w:val="Heading2"/>
      </w:pPr>
      <w:r>
        <w:rPr>
          <w:rFonts w:ascii="Times New Roman" w:hAnsi="Times New Roman"/>
          <w:color w:val="000000"/>
        </w:rPr>
        <w:t>3.2. Walder et al. (2025) — Meta-analysis 21 RCT về DMHI cho lo âu xã hội</w:t>
      </w:r>
    </w:p>
    <w:p>
      <w:pPr>
        <w:jc w:val="both"/>
      </w:pPr>
      <w:r>
        <w:rPr>
          <w:rFonts w:ascii="Times New Roman" w:hAnsi="Times New Roman"/>
          <w:b w:val="0"/>
          <w:i w:val="0"/>
          <w:sz w:val="24"/>
        </w:rPr>
        <w:t>Phân tích tổng hợp 21 RCT về Can thiệp Sức khoẻ Tâm thần Số (Digital Mental Health Interventions — DMHI) cho phòng ngừa và điều trị rối loạn lo âu xã hội ở trẻ em, vị thành niên và thanh niên. Đăng trên Journal of Medical Internet Research (JMIR — Q1, IF ≈ 7,4) (Walder et al. 2025). PROSPERO CRD42023424181.</w:t>
      </w:r>
    </w:p>
    <w:p>
      <w:r>
        <w:rPr>
          <w:rFonts w:ascii="Times New Roman" w:hAnsi="Times New Roman"/>
          <w:b/>
          <w:i w:val="0"/>
          <w:sz w:val="24"/>
        </w:rPr>
        <w:t>Kết quả Hedges g cho các phân nhóm (Walder et al. 2025, Bảng 2 tr. 18):</w:t>
      </w:r>
    </w:p>
    <w:tbl>
      <w:tblPr>
        <w:tblStyle w:val="TableGrid"/>
        <w:tblW w:type="auto" w:w="0"/>
        <w:jc w:val="center"/>
        <w:tblLook w:firstColumn="1" w:firstRow="1" w:lastColumn="0" w:lastRow="0" w:noHBand="0" w:noVBand="1" w:val="04A0"/>
        <w:tblLayout w:type="fixed"/>
      </w:tblPr>
      <w:tblGrid>
        <w:gridCol w:w="3402"/>
        <w:gridCol w:w="1134"/>
        <w:gridCol w:w="1701"/>
        <w:gridCol w:w="2551"/>
      </w:tblGrid>
      <w:tr>
        <w:tc>
          <w:tcPr>
            <w:tcW w:w="3402" w:type="dxa"/>
            <w:shd w:fill="D9E2F3" w:val="clear"/>
          </w:tcPr>
          <w:p>
            <w:pPr>
              <w:jc w:val="center"/>
            </w:pPr>
            <w:r>
              <w:rPr>
                <w:rFonts w:ascii="Times New Roman" w:hAnsi="Times New Roman"/>
                <w:b/>
                <w:sz w:val="20"/>
              </w:rPr>
              <w:t>Phân nhóm</w:t>
            </w:r>
          </w:p>
        </w:tc>
        <w:tc>
          <w:tcPr>
            <w:tcW w:w="1134" w:type="dxa"/>
            <w:shd w:fill="D9E2F3" w:val="clear"/>
          </w:tcPr>
          <w:p>
            <w:pPr>
              <w:jc w:val="center"/>
            </w:pPr>
            <w:r>
              <w:rPr>
                <w:rFonts w:ascii="Times New Roman" w:hAnsi="Times New Roman"/>
                <w:b/>
                <w:sz w:val="20"/>
              </w:rPr>
              <w:t>Hedges g</w:t>
            </w:r>
          </w:p>
        </w:tc>
        <w:tc>
          <w:tcPr>
            <w:tcW w:w="1701" w:type="dxa"/>
            <w:shd w:fill="D9E2F3" w:val="clear"/>
          </w:tcPr>
          <w:p>
            <w:pPr>
              <w:jc w:val="center"/>
            </w:pPr>
            <w:r>
              <w:rPr>
                <w:rFonts w:ascii="Times New Roman" w:hAnsi="Times New Roman"/>
                <w:b/>
                <w:sz w:val="20"/>
              </w:rPr>
              <w:t>KTC 95 %</w:t>
            </w:r>
          </w:p>
        </w:tc>
        <w:tc>
          <w:tcPr>
            <w:tcW w:w="2551" w:type="dxa"/>
            <w:shd w:fill="D9E2F3" w:val="clear"/>
          </w:tcPr>
          <w:p>
            <w:pPr>
              <w:jc w:val="center"/>
            </w:pPr>
            <w:r>
              <w:rPr>
                <w:rFonts w:ascii="Times New Roman" w:hAnsi="Times New Roman"/>
                <w:b/>
                <w:sz w:val="20"/>
              </w:rPr>
              <w:t>Ý nghĩa lâm sàng</w:t>
            </w:r>
          </w:p>
        </w:tc>
      </w:tr>
      <w:tr>
        <w:tc>
          <w:tcPr>
            <w:tcW w:w="3402" w:type="dxa"/>
          </w:tcPr>
          <w:p>
            <w:r>
              <w:rPr>
                <w:rFonts w:ascii="Times New Roman" w:hAnsi="Times New Roman"/>
                <w:sz w:val="20"/>
              </w:rPr>
              <w:t>DMHI vs bất kỳ đối chứng</w:t>
            </w:r>
          </w:p>
        </w:tc>
        <w:tc>
          <w:tcPr>
            <w:tcW w:w="1134" w:type="dxa"/>
          </w:tcPr>
          <w:p>
            <w:r>
              <w:rPr>
                <w:rFonts w:ascii="Times New Roman" w:hAnsi="Times New Roman"/>
                <w:sz w:val="20"/>
              </w:rPr>
              <w:t>0,508</w:t>
            </w:r>
          </w:p>
        </w:tc>
        <w:tc>
          <w:tcPr>
            <w:tcW w:w="1701" w:type="dxa"/>
          </w:tcPr>
          <w:p>
            <w:r>
              <w:rPr>
                <w:rFonts w:ascii="Times New Roman" w:hAnsi="Times New Roman"/>
                <w:sz w:val="20"/>
              </w:rPr>
              <w:t>0,308 – 0,707</w:t>
            </w:r>
          </w:p>
        </w:tc>
        <w:tc>
          <w:tcPr>
            <w:tcW w:w="2551" w:type="dxa"/>
          </w:tcPr>
          <w:p>
            <w:r>
              <w:rPr>
                <w:rFonts w:ascii="Times New Roman" w:hAnsi="Times New Roman"/>
                <w:sz w:val="20"/>
              </w:rPr>
              <w:t>TRUNG BÌNH — đáng kể</w:t>
            </w:r>
          </w:p>
        </w:tc>
      </w:tr>
      <w:tr>
        <w:tc>
          <w:tcPr>
            <w:tcW w:w="3402" w:type="dxa"/>
          </w:tcPr>
          <w:p>
            <w:r>
              <w:rPr>
                <w:rFonts w:ascii="Times New Roman" w:hAnsi="Times New Roman"/>
                <w:sz w:val="20"/>
              </w:rPr>
              <w:t>DMHI vs danh sách chờ (WL)</w:t>
            </w:r>
          </w:p>
        </w:tc>
        <w:tc>
          <w:tcPr>
            <w:tcW w:w="1134" w:type="dxa"/>
          </w:tcPr>
          <w:p>
            <w:r>
              <w:rPr>
                <w:rFonts w:ascii="Times New Roman" w:hAnsi="Times New Roman"/>
                <w:sz w:val="20"/>
              </w:rPr>
              <w:t>0,576</w:t>
            </w:r>
          </w:p>
        </w:tc>
        <w:tc>
          <w:tcPr>
            <w:tcW w:w="1701" w:type="dxa"/>
          </w:tcPr>
          <w:p>
            <w:r>
              <w:rPr>
                <w:rFonts w:ascii="Times New Roman" w:hAnsi="Times New Roman"/>
                <w:sz w:val="20"/>
              </w:rPr>
              <w:t>0,343 – 0,809</w:t>
            </w:r>
          </w:p>
        </w:tc>
        <w:tc>
          <w:tcPr>
            <w:tcW w:w="2551" w:type="dxa"/>
          </w:tcPr>
          <w:p>
            <w:r>
              <w:rPr>
                <w:rFonts w:ascii="Times New Roman" w:hAnsi="Times New Roman"/>
                <w:sz w:val="20"/>
              </w:rPr>
              <w:t>Mạnh hơn vs WL</w:t>
            </w:r>
          </w:p>
        </w:tc>
      </w:tr>
      <w:tr>
        <w:tc>
          <w:tcPr>
            <w:tcW w:w="3402" w:type="dxa"/>
          </w:tcPr>
          <w:p>
            <w:r>
              <w:rPr>
                <w:rFonts w:ascii="Times New Roman" w:hAnsi="Times New Roman"/>
                <w:sz w:val="20"/>
              </w:rPr>
              <w:t>DMHI dựa trên CBT</w:t>
            </w:r>
          </w:p>
        </w:tc>
        <w:tc>
          <w:tcPr>
            <w:tcW w:w="1134" w:type="dxa"/>
          </w:tcPr>
          <w:p>
            <w:r>
              <w:rPr>
                <w:rFonts w:ascii="Times New Roman" w:hAnsi="Times New Roman"/>
                <w:sz w:val="20"/>
              </w:rPr>
              <w:t>0,610</w:t>
            </w:r>
          </w:p>
        </w:tc>
        <w:tc>
          <w:tcPr>
            <w:tcW w:w="1701" w:type="dxa"/>
          </w:tcPr>
          <w:p>
            <w:r>
              <w:rPr>
                <w:rFonts w:ascii="Times New Roman" w:hAnsi="Times New Roman"/>
                <w:sz w:val="20"/>
              </w:rPr>
              <w:t>0,361 – 0,859</w:t>
            </w:r>
          </w:p>
        </w:tc>
        <w:tc>
          <w:tcPr>
            <w:tcW w:w="2551" w:type="dxa"/>
          </w:tcPr>
          <w:p>
            <w:r>
              <w:rPr>
                <w:rFonts w:ascii="Times New Roman" w:hAnsi="Times New Roman"/>
                <w:sz w:val="20"/>
              </w:rPr>
              <w:t>Nền tảng CBT TỐT NHẤT</w:t>
            </w:r>
          </w:p>
        </w:tc>
      </w:tr>
      <w:tr>
        <w:tc>
          <w:tcPr>
            <w:tcW w:w="3402" w:type="dxa"/>
          </w:tcPr>
          <w:p>
            <w:r>
              <w:rPr>
                <w:rFonts w:ascii="Times New Roman" w:hAnsi="Times New Roman"/>
                <w:sz w:val="20"/>
              </w:rPr>
              <w:t>DMHI có HƯỚNG DẪN người</w:t>
            </w:r>
          </w:p>
        </w:tc>
        <w:tc>
          <w:tcPr>
            <w:tcW w:w="1134" w:type="dxa"/>
          </w:tcPr>
          <w:p>
            <w:r>
              <w:rPr>
                <w:rFonts w:ascii="Times New Roman" w:hAnsi="Times New Roman"/>
                <w:sz w:val="20"/>
              </w:rPr>
              <w:t>0,825</w:t>
            </w:r>
          </w:p>
        </w:tc>
        <w:tc>
          <w:tcPr>
            <w:tcW w:w="1701" w:type="dxa"/>
          </w:tcPr>
          <w:p>
            <w:r>
              <w:rPr>
                <w:rFonts w:ascii="Times New Roman" w:hAnsi="Times New Roman"/>
                <w:sz w:val="20"/>
              </w:rPr>
              <w:t>0,425 – 1,224</w:t>
            </w:r>
          </w:p>
        </w:tc>
        <w:tc>
          <w:tcPr>
            <w:tcW w:w="2551" w:type="dxa"/>
          </w:tcPr>
          <w:p>
            <w:r>
              <w:rPr>
                <w:rFonts w:ascii="Times New Roman" w:hAnsi="Times New Roman"/>
                <w:sz w:val="20"/>
              </w:rPr>
              <w:t>LỚN — hướng dẫn quan trọng</w:t>
            </w:r>
          </w:p>
        </w:tc>
      </w:tr>
      <w:tr>
        <w:tc>
          <w:tcPr>
            <w:tcW w:w="3402" w:type="dxa"/>
          </w:tcPr>
          <w:p>
            <w:r>
              <w:rPr>
                <w:rFonts w:ascii="Times New Roman" w:hAnsi="Times New Roman"/>
                <w:sz w:val="20"/>
              </w:rPr>
              <w:t>DMHI thiết kế RIÊNG cho SAD</w:t>
            </w:r>
          </w:p>
        </w:tc>
        <w:tc>
          <w:tcPr>
            <w:tcW w:w="1134" w:type="dxa"/>
          </w:tcPr>
          <w:p>
            <w:r>
              <w:rPr>
                <w:rFonts w:ascii="Times New Roman" w:hAnsi="Times New Roman"/>
                <w:sz w:val="20"/>
              </w:rPr>
              <w:t>0,878</w:t>
            </w:r>
          </w:p>
        </w:tc>
        <w:tc>
          <w:tcPr>
            <w:tcW w:w="1701" w:type="dxa"/>
          </w:tcPr>
          <w:p>
            <w:r>
              <w:rPr>
                <w:rFonts w:ascii="Times New Roman" w:hAnsi="Times New Roman"/>
                <w:sz w:val="20"/>
              </w:rPr>
              <w:t>0,469 – 1,278</w:t>
            </w:r>
          </w:p>
        </w:tc>
        <w:tc>
          <w:tcPr>
            <w:tcW w:w="2551" w:type="dxa"/>
          </w:tcPr>
          <w:p>
            <w:r>
              <w:rPr>
                <w:rFonts w:ascii="Times New Roman" w:hAnsi="Times New Roman"/>
                <w:sz w:val="20"/>
              </w:rPr>
              <w:t>LỚN NHẤT — SAD-specific</w:t>
            </w:r>
          </w:p>
        </w:tc>
      </w:tr>
      <w:tr>
        <w:tc>
          <w:tcPr>
            <w:tcW w:w="3402" w:type="dxa"/>
          </w:tcPr>
          <w:p>
            <w:r>
              <w:rPr>
                <w:rFonts w:ascii="Times New Roman" w:hAnsi="Times New Roman"/>
                <w:sz w:val="20"/>
              </w:rPr>
              <w:t>DMHI KHÔNG hướng dẫn</w:t>
            </w:r>
          </w:p>
        </w:tc>
        <w:tc>
          <w:tcPr>
            <w:tcW w:w="1134" w:type="dxa"/>
          </w:tcPr>
          <w:p>
            <w:r>
              <w:rPr>
                <w:rFonts w:ascii="Times New Roman" w:hAnsi="Times New Roman"/>
                <w:sz w:val="20"/>
              </w:rPr>
              <w:t>~ 0,3 – 0,4</w:t>
            </w:r>
          </w:p>
        </w:tc>
        <w:tc>
          <w:tcPr>
            <w:tcW w:w="1701" w:type="dxa"/>
          </w:tcPr>
          <w:p>
            <w:r>
              <w:rPr>
                <w:rFonts w:ascii="Times New Roman" w:hAnsi="Times New Roman"/>
                <w:sz w:val="20"/>
              </w:rPr>
              <w:t>—</w:t>
            </w:r>
          </w:p>
        </w:tc>
        <w:tc>
          <w:tcPr>
            <w:tcW w:w="2551" w:type="dxa"/>
          </w:tcPr>
          <w:p>
            <w:r>
              <w:rPr>
                <w:rFonts w:ascii="Times New Roman" w:hAnsi="Times New Roman"/>
                <w:sz w:val="20"/>
              </w:rPr>
              <w:t>Nhỏ — kém hiệu quả</w:t>
            </w:r>
          </w:p>
        </w:tc>
      </w:tr>
      <w:tr>
        <w:tc>
          <w:tcPr>
            <w:tcW w:w="3402" w:type="dxa"/>
          </w:tcPr>
          <w:p>
            <w:r>
              <w:rPr>
                <w:rFonts w:ascii="Times New Roman" w:hAnsi="Times New Roman"/>
                <w:sz w:val="20"/>
              </w:rPr>
              <w:t>Sau xét thiên lệch xuất bản</w:t>
            </w:r>
          </w:p>
        </w:tc>
        <w:tc>
          <w:tcPr>
            <w:tcW w:w="1134" w:type="dxa"/>
          </w:tcPr>
          <w:p>
            <w:r>
              <w:rPr>
                <w:rFonts w:ascii="Times New Roman" w:hAnsi="Times New Roman"/>
                <w:sz w:val="20"/>
              </w:rPr>
              <w:t>0,506</w:t>
            </w:r>
          </w:p>
        </w:tc>
        <w:tc>
          <w:tcPr>
            <w:tcW w:w="1701" w:type="dxa"/>
          </w:tcPr>
          <w:p>
            <w:r>
              <w:rPr>
                <w:rFonts w:ascii="Times New Roman" w:hAnsi="Times New Roman"/>
                <w:sz w:val="20"/>
              </w:rPr>
              <w:t>0,308 – 0,707</w:t>
            </w:r>
          </w:p>
        </w:tc>
        <w:tc>
          <w:tcPr>
            <w:tcW w:w="2551" w:type="dxa"/>
          </w:tcPr>
          <w:p>
            <w:r>
              <w:rPr>
                <w:rFonts w:ascii="Times New Roman" w:hAnsi="Times New Roman"/>
                <w:sz w:val="20"/>
              </w:rPr>
              <w:t>Vẫn đáng kể — kết quả robust</w:t>
            </w:r>
          </w:p>
        </w:tc>
      </w:tr>
    </w:tbl>
    <w:p>
      <w:r>
        <w:rPr>
          <w:rFonts w:ascii="Times New Roman" w:hAnsi="Times New Roman"/>
          <w:b w:val="0"/>
          <w:i/>
          <w:sz w:val="20"/>
        </w:rPr>
        <w:t>Bảng 7. Hiệu lực DMHI cho lo âu xã hội theo phân nhóm. Nguồn: Walder et al. 2025, JMIR, Bảng 2, tr. 18.</w:t>
      </w:r>
    </w:p>
    <w:p>
      <w:pPr>
        <w:jc w:val="center"/>
      </w:pPr>
      <w:r>
        <w:drawing>
          <wp:inline xmlns:a="http://schemas.openxmlformats.org/drawingml/2006/main" xmlns:pic="http://schemas.openxmlformats.org/drawingml/2006/picture">
            <wp:extent cx="5580000" cy="3131110"/>
            <wp:docPr id="6" name="Picture 6"/>
            <wp:cNvGraphicFramePr>
              <a:graphicFrameLocks noChangeAspect="1"/>
            </wp:cNvGraphicFramePr>
            <a:graphic>
              <a:graphicData uri="http://schemas.openxmlformats.org/drawingml/2006/picture">
                <pic:pic>
                  <pic:nvPicPr>
                    <pic:cNvPr id="0" name="chart4_DMHI_Walder.png"/>
                    <pic:cNvPicPr/>
                  </pic:nvPicPr>
                  <pic:blipFill>
                    <a:blip r:embed="rId14"/>
                    <a:stretch>
                      <a:fillRect/>
                    </a:stretch>
                  </pic:blipFill>
                  <pic:spPr>
                    <a:xfrm>
                      <a:off x="0" y="0"/>
                      <a:ext cx="5580000" cy="3131110"/>
                    </a:xfrm>
                    <a:prstGeom prst="rect"/>
                  </pic:spPr>
                </pic:pic>
              </a:graphicData>
            </a:graphic>
          </wp:inline>
        </w:drawing>
      </w:r>
    </w:p>
    <w:p>
      <w:pPr>
        <w:jc w:val="both"/>
      </w:pPr>
      <w:r>
        <w:rPr>
          <w:rFonts w:ascii="Times New Roman" w:hAnsi="Times New Roman"/>
          <w:b w:val="0"/>
          <w:i/>
          <w:color w:val="CC0000"/>
          <w:sz w:val="24"/>
        </w:rPr>
        <w:t>Phản biện: Đây là bằng chứng MẠNH NHẤT về DMHI / iCBT cho SAD ở trẻ và VTN trong toàn bộ tài liệu. Hai phát hiện cốt lõi: (1) thiết kế ĐẶC THÙ cho SAD (g = 0,878) hiệu lực hơn gần gấp đôi DMHI tổng quát (g = 0,508); (2) có HƯỚNG DẪN người (g = 0,825) hiệu lực gần gấp đôi không có hướng dẫn (g ≈ 0,3–0,4). Phù hợp với Xian, Zhang &amp; Jiang 2024 (NMA hạng 1 cho iCBT) và Sasaki et al. 2024 (RCT Nhật iCBT dương tính). Cho Việt Nam: nếu phát triển app tiếng Việt, BẮT BUỘC phải (a) dành riêng cho SAD / lo âu, (b) có thành phần hỗ trợ người (chat, video call định kỳ, hoặc nhân viên hướng dẫn). Hai điều kiện này tăng hiệu lực gấp ~ 3 lần.</w:t>
      </w:r>
    </w:p>
    <w:p>
      <w:pPr>
        <w:pStyle w:val="Heading2"/>
      </w:pPr>
      <w:r>
        <w:rPr>
          <w:rFonts w:ascii="Times New Roman" w:hAnsi="Times New Roman"/>
          <w:color w:val="000000"/>
        </w:rPr>
        <w:t>3.3. Bress et al. (2024) — RCT ứng dụng Maya tại JAMA Network Open</w:t>
      </w:r>
    </w:p>
    <w:p>
      <w:pPr>
        <w:jc w:val="both"/>
      </w:pPr>
      <w:r>
        <w:rPr>
          <w:rFonts w:ascii="Times New Roman" w:hAnsi="Times New Roman"/>
          <w:b w:val="0"/>
          <w:i w:val="0"/>
          <w:sz w:val="24"/>
        </w:rPr>
        <w:t>Thử nghiệm lâm sàng ngẫu nhiên đăng tại JAMA Network Open vol. 7(8), e2428372, tr. 1–15 (Bress et al. 2024). DOI 10.1001/jamanetworkopen.2024.28372. ClinicalTrials.gov NCT05130281. Đối tượng: 59 thanh niên 18–25 tuổi có rối loạn lo âu (GAD 56 %, SAD 41 %), tuyển qua quảng cáo trực tuyến.</w:t>
      </w:r>
    </w:p>
    <w:p>
      <w:pPr>
        <w:jc w:val="both"/>
      </w:pPr>
      <w:r>
        <w:rPr>
          <w:rFonts w:ascii="Times New Roman" w:hAnsi="Times New Roman"/>
          <w:b w:val="0"/>
          <w:i w:val="0"/>
          <w:sz w:val="24"/>
        </w:rPr>
        <w:t>Can thiệp: ứng dụng Maya — CBT tự hướng dẫn 12 phiên / 6 tuần. 3 nhóm khuyến khích dựa trên tin nhắn (gain-frame, loss-frame, social support). Theo dõi đến tuần 12. Đo bằng HAM-A (chính), ASI, LSAS, HDRS-24, uMARS.</w:t>
      </w:r>
    </w:p>
    <w:p>
      <w:r>
        <w:rPr>
          <w:rFonts w:ascii="Times New Roman" w:hAnsi="Times New Roman"/>
          <w:b/>
          <w:i w:val="0"/>
          <w:sz w:val="24"/>
        </w:rPr>
        <w:t>Kết quả thay đổi HAM-A từ ban đầu (Bress et al. 2024, Bảng 2 tr. 7):</w:t>
      </w:r>
    </w:p>
    <w:tbl>
      <w:tblPr>
        <w:tblStyle w:val="TableGrid"/>
        <w:tblW w:type="auto" w:w="0"/>
        <w:jc w:val="center"/>
        <w:tblLook w:firstColumn="1" w:firstRow="1" w:lastColumn="0" w:lastRow="0" w:noHBand="0" w:noVBand="1" w:val="04A0"/>
        <w:tblLayout w:type="fixed"/>
      </w:tblPr>
      <w:tblGrid>
        <w:gridCol w:w="1984"/>
        <w:gridCol w:w="1701"/>
        <w:gridCol w:w="1701"/>
        <w:gridCol w:w="1984"/>
        <w:gridCol w:w="1417"/>
      </w:tblGrid>
      <w:tr>
        <w:tc>
          <w:tcPr>
            <w:tcW w:w="1984" w:type="dxa"/>
            <w:shd w:fill="D9E2F3" w:val="clear"/>
          </w:tcPr>
          <w:p>
            <w:pPr>
              <w:jc w:val="center"/>
            </w:pPr>
            <w:r>
              <w:rPr>
                <w:rFonts w:ascii="Times New Roman" w:hAnsi="Times New Roman"/>
                <w:b/>
                <w:sz w:val="20"/>
              </w:rPr>
              <w:t>Thời điểm</w:t>
            </w:r>
          </w:p>
        </w:tc>
        <w:tc>
          <w:tcPr>
            <w:tcW w:w="1701" w:type="dxa"/>
            <w:shd w:fill="D9E2F3" w:val="clear"/>
          </w:tcPr>
          <w:p>
            <w:pPr>
              <w:jc w:val="center"/>
            </w:pPr>
            <w:r>
              <w:rPr>
                <w:rFonts w:ascii="Times New Roman" w:hAnsi="Times New Roman"/>
                <w:b/>
                <w:sz w:val="20"/>
              </w:rPr>
              <w:t>Chênh lệch TB</w:t>
            </w:r>
          </w:p>
        </w:tc>
        <w:tc>
          <w:tcPr>
            <w:tcW w:w="1701" w:type="dxa"/>
            <w:shd w:fill="D9E2F3" w:val="clear"/>
          </w:tcPr>
          <w:p>
            <w:pPr>
              <w:jc w:val="center"/>
            </w:pPr>
            <w:r>
              <w:rPr>
                <w:rFonts w:ascii="Times New Roman" w:hAnsi="Times New Roman"/>
                <w:b/>
                <w:sz w:val="20"/>
              </w:rPr>
              <w:t>KTC 95 %</w:t>
            </w:r>
          </w:p>
        </w:tc>
        <w:tc>
          <w:tcPr>
            <w:tcW w:w="1984" w:type="dxa"/>
            <w:shd w:fill="D9E2F3" w:val="clear"/>
          </w:tcPr>
          <w:p>
            <w:pPr>
              <w:jc w:val="center"/>
            </w:pPr>
            <w:r>
              <w:rPr>
                <w:rFonts w:ascii="Times New Roman" w:hAnsi="Times New Roman"/>
                <w:b/>
                <w:sz w:val="20"/>
              </w:rPr>
              <w:t>Cohen's d</w:t>
            </w:r>
          </w:p>
        </w:tc>
        <w:tc>
          <w:tcPr>
            <w:tcW w:w="1417" w:type="dxa"/>
            <w:shd w:fill="D9E2F3" w:val="clear"/>
          </w:tcPr>
          <w:p>
            <w:pPr>
              <w:jc w:val="center"/>
            </w:pPr>
            <w:r>
              <w:rPr>
                <w:rFonts w:ascii="Times New Roman" w:hAnsi="Times New Roman"/>
                <w:b/>
                <w:sz w:val="20"/>
              </w:rPr>
              <w:t>p</w:t>
            </w:r>
          </w:p>
        </w:tc>
      </w:tr>
      <w:tr>
        <w:tc>
          <w:tcPr>
            <w:tcW w:w="1984" w:type="dxa"/>
          </w:tcPr>
          <w:p>
            <w:r>
              <w:rPr>
                <w:rFonts w:ascii="Times New Roman" w:hAnsi="Times New Roman"/>
                <w:sz w:val="20"/>
              </w:rPr>
              <w:t>Tuần 3 (giữa)</w:t>
            </w:r>
          </w:p>
        </w:tc>
        <w:tc>
          <w:tcPr>
            <w:tcW w:w="1701" w:type="dxa"/>
          </w:tcPr>
          <w:p>
            <w:r>
              <w:rPr>
                <w:rFonts w:ascii="Times New Roman" w:hAnsi="Times New Roman"/>
                <w:sz w:val="20"/>
              </w:rPr>
              <w:t>−3,20</w:t>
            </w:r>
          </w:p>
        </w:tc>
        <w:tc>
          <w:tcPr>
            <w:tcW w:w="1701" w:type="dxa"/>
          </w:tcPr>
          <w:p>
            <w:r>
              <w:rPr>
                <w:rFonts w:ascii="Times New Roman" w:hAnsi="Times New Roman"/>
                <w:sz w:val="20"/>
              </w:rPr>
              <w:t>−4,76 đến −1,64</w:t>
            </w:r>
          </w:p>
        </w:tc>
        <w:tc>
          <w:tcPr>
            <w:tcW w:w="1984" w:type="dxa"/>
          </w:tcPr>
          <w:p>
            <w:r>
              <w:rPr>
                <w:rFonts w:ascii="Times New Roman" w:hAnsi="Times New Roman"/>
                <w:sz w:val="20"/>
              </w:rPr>
              <w:t>0,64 (TRUNG BÌNH)</w:t>
            </w:r>
          </w:p>
        </w:tc>
        <w:tc>
          <w:tcPr>
            <w:tcW w:w="1417" w:type="dxa"/>
          </w:tcPr>
          <w:p>
            <w:r>
              <w:rPr>
                <w:rFonts w:ascii="Times New Roman" w:hAnsi="Times New Roman"/>
                <w:sz w:val="20"/>
              </w:rPr>
              <w:t>&lt; 0,001</w:t>
            </w:r>
          </w:p>
        </w:tc>
      </w:tr>
      <w:tr>
        <w:tc>
          <w:tcPr>
            <w:tcW w:w="1984" w:type="dxa"/>
          </w:tcPr>
          <w:p>
            <w:r>
              <w:rPr>
                <w:rFonts w:ascii="Times New Roman" w:hAnsi="Times New Roman"/>
                <w:sz w:val="20"/>
              </w:rPr>
              <w:t>Tuần 6 (kết thúc)</w:t>
            </w:r>
          </w:p>
        </w:tc>
        <w:tc>
          <w:tcPr>
            <w:tcW w:w="1701" w:type="dxa"/>
          </w:tcPr>
          <w:p>
            <w:r>
              <w:rPr>
                <w:rFonts w:ascii="Times New Roman" w:hAnsi="Times New Roman"/>
                <w:sz w:val="20"/>
              </w:rPr>
              <w:t>−5,64</w:t>
            </w:r>
          </w:p>
        </w:tc>
        <w:tc>
          <w:tcPr>
            <w:tcW w:w="1701" w:type="dxa"/>
          </w:tcPr>
          <w:p>
            <w:r>
              <w:rPr>
                <w:rFonts w:ascii="Times New Roman" w:hAnsi="Times New Roman"/>
                <w:sz w:val="20"/>
              </w:rPr>
              <w:t>−7,23 đến −4,05</w:t>
            </w:r>
          </w:p>
        </w:tc>
        <w:tc>
          <w:tcPr>
            <w:tcW w:w="1984" w:type="dxa"/>
          </w:tcPr>
          <w:p>
            <w:r>
              <w:rPr>
                <w:rFonts w:ascii="Times New Roman" w:hAnsi="Times New Roman"/>
                <w:sz w:val="20"/>
              </w:rPr>
              <w:t>0,94 (LỚN)</w:t>
            </w:r>
          </w:p>
        </w:tc>
        <w:tc>
          <w:tcPr>
            <w:tcW w:w="1417" w:type="dxa"/>
          </w:tcPr>
          <w:p>
            <w:r>
              <w:rPr>
                <w:rFonts w:ascii="Times New Roman" w:hAnsi="Times New Roman"/>
                <w:sz w:val="20"/>
              </w:rPr>
              <w:t>&lt; 0,001</w:t>
            </w:r>
          </w:p>
        </w:tc>
      </w:tr>
      <w:tr>
        <w:tc>
          <w:tcPr>
            <w:tcW w:w="1984" w:type="dxa"/>
          </w:tcPr>
          <w:p>
            <w:r>
              <w:rPr>
                <w:rFonts w:ascii="Times New Roman" w:hAnsi="Times New Roman"/>
                <w:sz w:val="20"/>
              </w:rPr>
              <w:t>Tuần 12 (theo dõi)</w:t>
            </w:r>
          </w:p>
        </w:tc>
        <w:tc>
          <w:tcPr>
            <w:tcW w:w="1701" w:type="dxa"/>
          </w:tcPr>
          <w:p>
            <w:r>
              <w:rPr>
                <w:rFonts w:ascii="Times New Roman" w:hAnsi="Times New Roman"/>
                <w:sz w:val="20"/>
              </w:rPr>
              <w:t>−5,67</w:t>
            </w:r>
          </w:p>
        </w:tc>
        <w:tc>
          <w:tcPr>
            <w:tcW w:w="1701" w:type="dxa"/>
          </w:tcPr>
          <w:p>
            <w:r>
              <w:rPr>
                <w:rFonts w:ascii="Times New Roman" w:hAnsi="Times New Roman"/>
                <w:sz w:val="20"/>
              </w:rPr>
              <w:t>−7,29 đến −4,04</w:t>
            </w:r>
          </w:p>
        </w:tc>
        <w:tc>
          <w:tcPr>
            <w:tcW w:w="1984" w:type="dxa"/>
          </w:tcPr>
          <w:p>
            <w:r>
              <w:rPr>
                <w:rFonts w:ascii="Times New Roman" w:hAnsi="Times New Roman"/>
                <w:sz w:val="20"/>
              </w:rPr>
              <w:t>1,04 (RẤT LỚN)</w:t>
            </w:r>
          </w:p>
        </w:tc>
        <w:tc>
          <w:tcPr>
            <w:tcW w:w="1417" w:type="dxa"/>
          </w:tcPr>
          <w:p>
            <w:r>
              <w:rPr>
                <w:rFonts w:ascii="Times New Roman" w:hAnsi="Times New Roman"/>
                <w:sz w:val="20"/>
              </w:rPr>
              <w:t>&lt; 0,001</w:t>
            </w:r>
          </w:p>
        </w:tc>
      </w:tr>
    </w:tbl>
    <w:p>
      <w:r>
        <w:rPr>
          <w:rFonts w:ascii="Times New Roman" w:hAnsi="Times New Roman"/>
          <w:b w:val="0"/>
          <w:i/>
          <w:sz w:val="20"/>
        </w:rPr>
        <w:t>Bảng 8. Hiệu quả ứng dụng Maya trên thang HAM-A. Nguồn: Bress et al. 2024, JAMA Network Open 7(8):e2428372, Bảng 2, tr. 7.</w:t>
      </w:r>
    </w:p>
    <w:p>
      <w:pPr>
        <w:jc w:val="center"/>
      </w:pPr>
      <w:r>
        <w:drawing>
          <wp:inline xmlns:a="http://schemas.openxmlformats.org/drawingml/2006/main" xmlns:pic="http://schemas.openxmlformats.org/drawingml/2006/picture">
            <wp:extent cx="5580000" cy="3329053"/>
            <wp:docPr id="7" name="Picture 7"/>
            <wp:cNvGraphicFramePr>
              <a:graphicFrameLocks noChangeAspect="1"/>
            </wp:cNvGraphicFramePr>
            <a:graphic>
              <a:graphicData uri="http://schemas.openxmlformats.org/drawingml/2006/picture">
                <pic:pic>
                  <pic:nvPicPr>
                    <pic:cNvPr id="0" name="chart6_Maya_App_Bress.png"/>
                    <pic:cNvPicPr/>
                  </pic:nvPicPr>
                  <pic:blipFill>
                    <a:blip r:embed="rId15"/>
                    <a:stretch>
                      <a:fillRect/>
                    </a:stretch>
                  </pic:blipFill>
                  <pic:spPr>
                    <a:xfrm>
                      <a:off x="0" y="0"/>
                      <a:ext cx="5580000" cy="3329053"/>
                    </a:xfrm>
                    <a:prstGeom prst="rect"/>
                  </pic:spPr>
                </pic:pic>
              </a:graphicData>
            </a:graphic>
          </wp:inline>
        </w:drawing>
      </w:r>
    </w:p>
    <w:p>
      <w:pPr>
        <w:jc w:val="both"/>
      </w:pPr>
      <w:r>
        <w:rPr>
          <w:rFonts w:ascii="Times New Roman" w:hAnsi="Times New Roman"/>
          <w:b w:val="0"/>
          <w:i w:val="0"/>
          <w:sz w:val="24"/>
        </w:rPr>
        <w:t>Đặc biệt đáng chú ý — hiệu lực TĂNG theo thời gian: Cohen d tăng từ 0,64 (tuần 3) lên 0,94 (tuần 6) và 1,04 (tuần 12). Hiệu quả không chỉ bền mà còn tiếp tục cải thiện sau khi dừng can thiệp. Trên thang ASI (anxiety sensitivity), Cohen d = 0,93 ở tuần 6; trên LSAS (lo âu xã hội), d = 1,07 ở tuần 12 (Bảng 3 tr. 8 cùng tài liệu).</w:t>
      </w:r>
    </w:p>
    <w:p>
      <w:pPr>
        <w:jc w:val="both"/>
      </w:pPr>
      <w:r>
        <w:rPr>
          <w:rFonts w:ascii="Times New Roman" w:hAnsi="Times New Roman"/>
          <w:b w:val="0"/>
          <w:i/>
          <w:color w:val="CC0000"/>
          <w:sz w:val="24"/>
        </w:rPr>
        <w:t>Phản biện: RCT đăng trên JAMA Network Open (Q1, IF ≈ 13,8) — bằng chứng chất lượng cực cao. Hiệu lực Cohen d = 1,04 là RẤT LỚN cho can thiệp app — gần như tương đương CBT mặt đối mặt. Hai lưu ý: (1) đối tượng 18–25 tuổi (THANH NIÊN, không phải VTN học sinh) — cần kiểm chứng ở tuổi nhỏ hơn; (2) quảng cáo trực tuyến tuyển mộ → mẫu có thể tự chọn cao, có động lực sẵn → kết quả có thể không generalizable cho dân số chung. Cho Việt Nam: mô hình app CBT có hỗ trợ tin nhắn rất khả thi cho VTN cấp 3 + SV, cần RCT thử nghiệm.</w:t>
      </w:r>
    </w:p>
    <w:p>
      <w:pPr>
        <w:pStyle w:val="Heading2"/>
      </w:pPr>
      <w:r>
        <w:rPr>
          <w:rFonts w:ascii="Times New Roman" w:hAnsi="Times New Roman"/>
          <w:color w:val="000000"/>
        </w:rPr>
        <w:t>3.4. Brown &amp; Carter (2025) — Editorial UK về can thiệp tại trường</w:t>
      </w:r>
    </w:p>
    <w:p>
      <w:pPr>
        <w:jc w:val="both"/>
      </w:pPr>
      <w:r>
        <w:rPr>
          <w:rFonts w:ascii="Times New Roman" w:hAnsi="Times New Roman"/>
          <w:b w:val="0"/>
          <w:i w:val="0"/>
          <w:sz w:val="24"/>
        </w:rPr>
        <w:t>Editorial đăng trên Journal of Mental Health vol. 34(4), tr. 357–361 (Brown &amp; Carter 2025). Tác giả chính June S.L. Brown — chuyên gia hàng đầu UK về can thiệp tâm lý cộng đồng. Bài tổng hợp các mô hình can thiệp tại trường ở Anh và đề xuất hướng đi.</w:t>
      </w:r>
    </w:p>
    <w:tbl>
      <w:tblPr>
        <w:tblStyle w:val="TableGrid"/>
        <w:tblW w:type="auto" w:w="0"/>
        <w:jc w:val="center"/>
        <w:tblLook w:firstColumn="1" w:firstRow="1" w:lastColumn="0" w:lastRow="0" w:noHBand="0" w:noVBand="1" w:val="04A0"/>
        <w:tblLayout w:type="fixed"/>
      </w:tblPr>
      <w:tblGrid>
        <w:gridCol w:w="2551"/>
        <w:gridCol w:w="1984"/>
        <w:gridCol w:w="1701"/>
        <w:gridCol w:w="2551"/>
      </w:tblGrid>
      <w:tr>
        <w:tc>
          <w:tcPr>
            <w:tcW w:w="2551" w:type="dxa"/>
            <w:shd w:fill="D9E2F3" w:val="clear"/>
          </w:tcPr>
          <w:p>
            <w:pPr>
              <w:jc w:val="center"/>
            </w:pPr>
            <w:r>
              <w:rPr>
                <w:rFonts w:ascii="Times New Roman" w:hAnsi="Times New Roman"/>
                <w:b/>
                <w:sz w:val="20"/>
              </w:rPr>
              <w:t>Mô hình</w:t>
            </w:r>
          </w:p>
        </w:tc>
        <w:tc>
          <w:tcPr>
            <w:tcW w:w="1984" w:type="dxa"/>
            <w:shd w:fill="D9E2F3" w:val="clear"/>
          </w:tcPr>
          <w:p>
            <w:pPr>
              <w:jc w:val="center"/>
            </w:pPr>
            <w:r>
              <w:rPr>
                <w:rFonts w:ascii="Times New Roman" w:hAnsi="Times New Roman"/>
                <w:b/>
                <w:sz w:val="20"/>
              </w:rPr>
              <w:t>Người cung cấp</w:t>
            </w:r>
          </w:p>
        </w:tc>
        <w:tc>
          <w:tcPr>
            <w:tcW w:w="1701" w:type="dxa"/>
            <w:shd w:fill="D9E2F3" w:val="clear"/>
          </w:tcPr>
          <w:p>
            <w:pPr>
              <w:jc w:val="center"/>
            </w:pPr>
            <w:r>
              <w:rPr>
                <w:rFonts w:ascii="Times New Roman" w:hAnsi="Times New Roman"/>
                <w:b/>
                <w:sz w:val="20"/>
              </w:rPr>
              <w:t>Hiệu quả</w:t>
            </w:r>
          </w:p>
        </w:tc>
        <w:tc>
          <w:tcPr>
            <w:tcW w:w="2551" w:type="dxa"/>
            <w:shd w:fill="D9E2F3" w:val="clear"/>
          </w:tcPr>
          <w:p>
            <w:pPr>
              <w:jc w:val="center"/>
            </w:pPr>
            <w:r>
              <w:rPr>
                <w:rFonts w:ascii="Times New Roman" w:hAnsi="Times New Roman"/>
                <w:b/>
                <w:sz w:val="20"/>
              </w:rPr>
              <w:t>Bằng chứng nguồn</w:t>
            </w:r>
          </w:p>
        </w:tc>
      </w:tr>
      <w:tr>
        <w:tc>
          <w:tcPr>
            <w:tcW w:w="2551" w:type="dxa"/>
          </w:tcPr>
          <w:p>
            <w:r>
              <w:rPr>
                <w:rFonts w:ascii="Times New Roman" w:hAnsi="Times New Roman"/>
                <w:sz w:val="20"/>
              </w:rPr>
              <w:t>Mindfulness phổ quát</w:t>
            </w:r>
          </w:p>
        </w:tc>
        <w:tc>
          <w:tcPr>
            <w:tcW w:w="1984" w:type="dxa"/>
          </w:tcPr>
          <w:p>
            <w:r>
              <w:rPr>
                <w:rFonts w:ascii="Times New Roman" w:hAnsi="Times New Roman"/>
                <w:sz w:val="20"/>
              </w:rPr>
              <w:t>Giáo viên</w:t>
            </w:r>
          </w:p>
        </w:tc>
        <w:tc>
          <w:tcPr>
            <w:tcW w:w="1701" w:type="dxa"/>
          </w:tcPr>
          <w:p>
            <w:r>
              <w:rPr>
                <w:rFonts w:ascii="Times New Roman" w:hAnsi="Times New Roman"/>
                <w:sz w:val="20"/>
              </w:rPr>
              <w:t>THẤT BẠI</w:t>
            </w:r>
          </w:p>
        </w:tc>
        <w:tc>
          <w:tcPr>
            <w:tcW w:w="2551" w:type="dxa"/>
          </w:tcPr>
          <w:p>
            <w:r>
              <w:rPr>
                <w:rFonts w:ascii="Times New Roman" w:hAnsi="Times New Roman"/>
                <w:sz w:val="20"/>
              </w:rPr>
              <w:t>8.376 HS / 85 trường (Kuyken 2022)</w:t>
            </w:r>
          </w:p>
        </w:tc>
      </w:tr>
      <w:tr>
        <w:tc>
          <w:tcPr>
            <w:tcW w:w="2551" w:type="dxa"/>
          </w:tcPr>
          <w:p>
            <w:r>
              <w:rPr>
                <w:rFonts w:ascii="Times New Roman" w:hAnsi="Times New Roman"/>
                <w:sz w:val="20"/>
              </w:rPr>
              <w:t>BESST (CBT self-referral)</w:t>
            </w:r>
          </w:p>
        </w:tc>
        <w:tc>
          <w:tcPr>
            <w:tcW w:w="1984" w:type="dxa"/>
          </w:tcPr>
          <w:p>
            <w:r>
              <w:rPr>
                <w:rFonts w:ascii="Times New Roman" w:hAnsi="Times New Roman"/>
                <w:sz w:val="20"/>
              </w:rPr>
              <w:t>Chuyên gia tâm lý</w:t>
            </w:r>
          </w:p>
        </w:tc>
        <w:tc>
          <w:tcPr>
            <w:tcW w:w="1701" w:type="dxa"/>
          </w:tcPr>
          <w:p>
            <w:r>
              <w:rPr>
                <w:rFonts w:ascii="Times New Roman" w:hAnsi="Times New Roman"/>
                <w:sz w:val="20"/>
              </w:rPr>
              <w:t>DƯƠNG TÍNH</w:t>
            </w:r>
          </w:p>
        </w:tc>
        <w:tc>
          <w:tcPr>
            <w:tcW w:w="2551" w:type="dxa"/>
          </w:tcPr>
          <w:p>
            <w:r>
              <w:rPr>
                <w:rFonts w:ascii="Times New Roman" w:hAnsi="Times New Roman"/>
                <w:sz w:val="20"/>
              </w:rPr>
              <w:t>900 HS / 57 trường (Brown 2024)</w:t>
            </w:r>
          </w:p>
        </w:tc>
      </w:tr>
      <w:tr>
        <w:tc>
          <w:tcPr>
            <w:tcW w:w="2551" w:type="dxa"/>
          </w:tcPr>
          <w:p>
            <w:r>
              <w:rPr>
                <w:rFonts w:ascii="Times New Roman" w:hAnsi="Times New Roman"/>
                <w:sz w:val="20"/>
              </w:rPr>
              <w:t>MHST (Mental Health Support Team)</w:t>
            </w:r>
          </w:p>
        </w:tc>
        <w:tc>
          <w:tcPr>
            <w:tcW w:w="1984" w:type="dxa"/>
          </w:tcPr>
          <w:p>
            <w:r>
              <w:rPr>
                <w:rFonts w:ascii="Times New Roman" w:hAnsi="Times New Roman"/>
                <w:sz w:val="20"/>
              </w:rPr>
              <w:t>Thạc sĩ trị liệu</w:t>
            </w:r>
          </w:p>
        </w:tc>
        <w:tc>
          <w:tcPr>
            <w:tcW w:w="1701" w:type="dxa"/>
          </w:tcPr>
          <w:p>
            <w:r>
              <w:rPr>
                <w:rFonts w:ascii="Times New Roman" w:hAnsi="Times New Roman"/>
                <w:sz w:val="20"/>
              </w:rPr>
              <w:t>HỨA HẸN</w:t>
            </w:r>
          </w:p>
        </w:tc>
        <w:tc>
          <w:tcPr>
            <w:tcW w:w="2551" w:type="dxa"/>
          </w:tcPr>
          <w:p>
            <w:r>
              <w:rPr>
                <w:rFonts w:ascii="Times New Roman" w:hAnsi="Times New Roman"/>
                <w:sz w:val="20"/>
              </w:rPr>
              <w:t>Mới triển khai NHS UK</w:t>
            </w:r>
          </w:p>
        </w:tc>
      </w:tr>
      <w:tr>
        <w:tc>
          <w:tcPr>
            <w:tcW w:w="2551" w:type="dxa"/>
          </w:tcPr>
          <w:p>
            <w:r>
              <w:rPr>
                <w:rFonts w:ascii="Times New Roman" w:hAnsi="Times New Roman"/>
                <w:sz w:val="20"/>
              </w:rPr>
              <w:t>PLACES (self-referral)</w:t>
            </w:r>
          </w:p>
        </w:tc>
        <w:tc>
          <w:tcPr>
            <w:tcW w:w="1984" w:type="dxa"/>
          </w:tcPr>
          <w:p>
            <w:r>
              <w:rPr>
                <w:rFonts w:ascii="Times New Roman" w:hAnsi="Times New Roman"/>
                <w:sz w:val="20"/>
              </w:rPr>
              <w:t>Đa cấp</w:t>
            </w:r>
          </w:p>
        </w:tc>
        <w:tc>
          <w:tcPr>
            <w:tcW w:w="1701" w:type="dxa"/>
          </w:tcPr>
          <w:p>
            <w:r>
              <w:rPr>
                <w:rFonts w:ascii="Times New Roman" w:hAnsi="Times New Roman"/>
                <w:sz w:val="20"/>
              </w:rPr>
              <w:t>HỨA HẸN</w:t>
            </w:r>
          </w:p>
        </w:tc>
        <w:tc>
          <w:tcPr>
            <w:tcW w:w="2551" w:type="dxa"/>
          </w:tcPr>
          <w:p>
            <w:r>
              <w:rPr>
                <w:rFonts w:ascii="Times New Roman" w:hAnsi="Times New Roman"/>
                <w:sz w:val="20"/>
              </w:rPr>
              <w:t>Dùng từ thường ngày, giảm kỳ thị</w:t>
            </w:r>
          </w:p>
        </w:tc>
      </w:tr>
    </w:tbl>
    <w:p>
      <w:r>
        <w:rPr>
          <w:rFonts w:ascii="Times New Roman" w:hAnsi="Times New Roman"/>
          <w:b w:val="0"/>
          <w:i/>
          <w:sz w:val="20"/>
        </w:rPr>
        <w:t>Bảng 9. Bốn mô hình can thiệp tại trường ở Anh. Nguồn: Brown &amp; Carter 2025, J Mental Health 34(4), tr. 358–360.</w:t>
      </w:r>
    </w:p>
    <w:p>
      <w:r>
        <w:rPr>
          <w:rFonts w:ascii="Times New Roman" w:hAnsi="Times New Roman"/>
          <w:b/>
          <w:i w:val="0"/>
          <w:sz w:val="24"/>
        </w:rPr>
        <w:t>Năm bài học từ Editorial này (Brown &amp; Carter 2025, tr. 358–361):</w:t>
      </w:r>
    </w:p>
    <w:p>
      <w:pPr>
        <w:jc w:val="both"/>
      </w:pPr>
      <w:r>
        <w:rPr>
          <w:rFonts w:ascii="Times New Roman" w:hAnsi="Times New Roman"/>
          <w:b w:val="0"/>
          <w:i w:val="0"/>
          <w:sz w:val="24"/>
        </w:rPr>
        <w:t>1. UNIVERSAL MINDFULNESS thất bại do engagement thấp ở học sinh (Kuyken 2022, n = 8.376).</w:t>
      </w:r>
    </w:p>
    <w:p>
      <w:pPr>
        <w:jc w:val="both"/>
      </w:pPr>
      <w:r>
        <w:rPr>
          <w:rFonts w:ascii="Times New Roman" w:hAnsi="Times New Roman"/>
          <w:b w:val="0"/>
          <w:i w:val="0"/>
          <w:sz w:val="24"/>
        </w:rPr>
        <w:t>2. TARGETED CBT (học sinh có triệu chứng tự đăng ký) thành công (BESST trial 900 HS).</w:t>
      </w:r>
    </w:p>
    <w:p>
      <w:pPr>
        <w:jc w:val="both"/>
      </w:pPr>
      <w:r>
        <w:rPr>
          <w:rFonts w:ascii="Times New Roman" w:hAnsi="Times New Roman"/>
          <w:b w:val="0"/>
          <w:i w:val="0"/>
          <w:sz w:val="24"/>
        </w:rPr>
        <w:t>3. Chuyên gia lâm sàng &gt; giáo viên về hiệu quả, nhưng cả hai đều khả thi với đào tạo phù hợp.</w:t>
      </w:r>
    </w:p>
    <w:p>
      <w:pPr>
        <w:jc w:val="both"/>
      </w:pPr>
      <w:r>
        <w:rPr>
          <w:rFonts w:ascii="Times New Roman" w:hAnsi="Times New Roman"/>
          <w:b w:val="0"/>
          <w:i w:val="0"/>
          <w:sz w:val="24"/>
        </w:rPr>
        <w:t>4. CO-DESIGN (cho học sinh tham gia thiết kế can thiệp) tăng engagement đáng kể — đặc biệt với học sinh từ các nhóm thiểu số.</w:t>
      </w:r>
    </w:p>
    <w:p>
      <w:pPr>
        <w:jc w:val="both"/>
      </w:pPr>
      <w:r>
        <w:rPr>
          <w:rFonts w:ascii="Times New Roman" w:hAnsi="Times New Roman"/>
          <w:b w:val="0"/>
          <w:i w:val="0"/>
          <w:sz w:val="24"/>
        </w:rPr>
        <w:t>5. Ngôn ngữ THƯỜNG NGÀY ("căng thẳng" thay vì "trầm cảm") giảm kỳ thị và tăng tiếp cận.</w:t>
      </w:r>
    </w:p>
    <w:p>
      <w:pPr>
        <w:jc w:val="both"/>
      </w:pPr>
      <w:r>
        <w:rPr>
          <w:rFonts w:ascii="Times New Roman" w:hAnsi="Times New Roman"/>
          <w:b w:val="0"/>
          <w:i/>
          <w:color w:val="CC0000"/>
          <w:sz w:val="24"/>
        </w:rPr>
        <w:t>Phản biện: Editorial — không phải SR/MA gốc, là ý kiến chuyên gia + tổng hợp bằng chứng. Tuy nhiên cung cấp khung phân loại RẤT HỮU ÍCH. Cảnh báo về universal interventions là QUAN TRỌNG cho thiết kế đề cương Việt Nam. Phù hợp với Zhang, Liang &amp; Kang 2026 (Bayesian MA — universal CBT hiệu ứng nhỏ). Cho Việt Nam: nên áp dụng mô hình BESST (targeted + self-referral) thay vì universal, kết hợp PLACES language để giảm kỳ thị.</w:t>
      </w:r>
    </w:p>
    <w:p>
      <w:pPr>
        <w:pStyle w:val="Heading2"/>
      </w:pPr>
      <w:r>
        <w:rPr>
          <w:rFonts w:ascii="Times New Roman" w:hAnsi="Times New Roman"/>
          <w:color w:val="000000"/>
        </w:rPr>
        <w:t>3.5. Cao et al. (2025) — SR + MA về can thiệp resilience tại trường</w:t>
      </w:r>
    </w:p>
    <w:p>
      <w:pPr>
        <w:jc w:val="both"/>
      </w:pPr>
      <w:r>
        <w:rPr>
          <w:rFonts w:ascii="Times New Roman" w:hAnsi="Times New Roman"/>
          <w:b w:val="0"/>
          <w:i w:val="0"/>
          <w:sz w:val="24"/>
        </w:rPr>
        <w:t>Tổng quan hệ thống và phân tích tổng hợp các RCT về can thiệp khả năng phục hồi (resilience) tại trường cho trẻ em + vị thành niên. Đăng trên Frontiers in Psychiatry vol. 16, article 1594658, tr. 1–15 (Cao et al. 2025). Q1, IF ≈ 4,7. Open Access.</w:t>
      </w:r>
    </w:p>
    <w:p>
      <w:pPr>
        <w:jc w:val="both"/>
      </w:pPr>
      <w:r>
        <w:rPr>
          <w:rFonts w:ascii="Times New Roman" w:hAnsi="Times New Roman"/>
          <w:b w:val="0"/>
          <w:i w:val="0"/>
          <w:sz w:val="24"/>
        </w:rPr>
        <w:t>Resilience được định nghĩa là khả năng thích ứng tốt trước nghịch cảnh, căng thẳng hoặc sang chấn. Khác với CBT (giảm triệu chứng), can thiệp resilience nhắm tăng cường yếu tố BẢO VỆ: tự trọng, kỹ năng ứng phó, kết nối xã hội, lạc quan. Đây là tiếp cận từ tâm lý tích cực (positive psychology).</w:t>
      </w:r>
    </w:p>
    <w:p>
      <w:pPr>
        <w:jc w:val="both"/>
      </w:pPr>
      <w:r>
        <w:rPr>
          <w:rFonts w:ascii="Times New Roman" w:hAnsi="Times New Roman"/>
          <w:b w:val="0"/>
          <w:i w:val="0"/>
          <w:sz w:val="24"/>
        </w:rPr>
        <w:t>Phương pháp: Tìm kiếm hệ thống các RCT, đánh giá chất lượng bằng Cochrane Risk of Bias, random-effects meta-analysis. Kết quả: can thiệp resilience tại trường CÓ HIỆU QUẢ tăng resilience và giảm triệu chứng SKTT. Tuy nhiên kích thước hiệu ứng NHỎ – TRUNG BÌNH và heterogeneity CAO (Cao et al. 2025, tr. 6–9).</w:t>
      </w:r>
    </w:p>
    <w:p>
      <w:pPr>
        <w:jc w:val="both"/>
      </w:pPr>
      <w:r>
        <w:rPr>
          <w:rFonts w:ascii="Times New Roman" w:hAnsi="Times New Roman"/>
          <w:b w:val="0"/>
          <w:i/>
          <w:color w:val="CC0000"/>
          <w:sz w:val="24"/>
        </w:rPr>
        <w:t>Phản biện: SR + MA RCTs trên Frontiers Q1 — bằng chứng tốt. Effect size nhỏ – TB cho thấy resilience không thay thế được CBT, nhưng là YẾU TỐ BẢO VỆ bổ trợ. Phù hợp với phát hiện của Trần Thảo Vi (2025, Tâm Lý Học) — lạc quan trung gian quan hệ lo âu – trầm cảm (β gián tiếp = −0,24). Phù hợp với Ireland MyWorld Survey (Fitzgerald et al. 2024) — resilience + tự trọng quan trọng tăng theo thời gian (2012 → 2019). Cho Việt Nam: tích hợp module resilience (3 buổi) vào can thiệp CBT chính.</w:t>
      </w:r>
    </w:p>
    <w:p>
      <w:pPr>
        <w:pStyle w:val="Heading2"/>
      </w:pPr>
      <w:r>
        <w:rPr>
          <w:rFonts w:ascii="Times New Roman" w:hAnsi="Times New Roman"/>
          <w:color w:val="000000"/>
        </w:rPr>
        <w:t>3.6. Zhang, Liang &amp; Kang (2026) — Bayesian MA 31 RCT về CBT trường dài hạn</w:t>
      </w:r>
    </w:p>
    <w:p>
      <w:pPr>
        <w:jc w:val="both"/>
      </w:pPr>
      <w:r>
        <w:rPr>
          <w:rFonts w:ascii="Times New Roman" w:hAnsi="Times New Roman"/>
          <w:b w:val="0"/>
          <w:i w:val="0"/>
          <w:sz w:val="24"/>
        </w:rPr>
        <w:t>Bayesian Meta-Analysis 31 RCT về CBT phổ quát tại trường cho trầm cảm và lo âu ở trẻ em và VTN nguy cơ thấp (low-risk). Tổng N = 19.865 — mẫu lớn nhất hiện nay cho can thiệp CBT trường. Đăng trên Journal of Clinical Psychology vol. 82, tr. 248–259, online 11/2025, in print 03/2026 (Zhang, Liang &amp; Kang 2026). Bài này hiện chỉ có abstract qua paywall Wiley.</w:t>
      </w:r>
    </w:p>
    <w:p>
      <w:r>
        <w:rPr>
          <w:rFonts w:ascii="Times New Roman" w:hAnsi="Times New Roman"/>
          <w:b/>
          <w:i w:val="0"/>
          <w:sz w:val="24"/>
        </w:rPr>
        <w:t>Kết quả chính (theo abstract Crossref):</w:t>
      </w:r>
    </w:p>
    <w:p>
      <w:pPr>
        <w:jc w:val="both"/>
      </w:pPr>
      <w:r>
        <w:rPr>
          <w:rFonts w:ascii="Times New Roman" w:hAnsi="Times New Roman"/>
          <w:b w:val="0"/>
          <w:i w:val="0"/>
          <w:sz w:val="24"/>
        </w:rPr>
        <w:t>• Cải thiện CÓ Ý NGHĨA THỐNG KÊ nhưng KHIÊM TỐN trên triệu chứng trầm cảm.</w:t>
      </w:r>
    </w:p>
    <w:p>
      <w:pPr>
        <w:jc w:val="both"/>
      </w:pPr>
      <w:r>
        <w:rPr>
          <w:rFonts w:ascii="Times New Roman" w:hAnsi="Times New Roman"/>
          <w:b w:val="0"/>
          <w:i w:val="0"/>
          <w:sz w:val="24"/>
        </w:rPr>
        <w:t>• Giảm NHỎ trên triệu chứng lo âu.</w:t>
      </w:r>
    </w:p>
    <w:p>
      <w:pPr>
        <w:jc w:val="both"/>
      </w:pPr>
      <w:r>
        <w:rPr>
          <w:rFonts w:ascii="Times New Roman" w:hAnsi="Times New Roman"/>
          <w:b w:val="0"/>
          <w:i w:val="0"/>
          <w:sz w:val="24"/>
        </w:rPr>
        <w:t>• Hiệu quả DUY TRÌ tới 1 năm sau can thiệp.</w:t>
      </w:r>
    </w:p>
    <w:p>
      <w:pPr>
        <w:jc w:val="both"/>
      </w:pPr>
      <w:r>
        <w:rPr>
          <w:rFonts w:ascii="Times New Roman" w:hAnsi="Times New Roman"/>
          <w:b w:val="0"/>
          <w:i w:val="0"/>
          <w:sz w:val="24"/>
        </w:rPr>
        <w:t>• Kết luận của tác giả: "Chất lượng bằng chứng nền RẤT THẤP khiến phát hiện này CHƯA ĐỦ vững chắc để hỗ trợ triển khai rộng rãi tại thời điểm này."</w:t>
      </w:r>
    </w:p>
    <w:p>
      <w:pPr>
        <w:jc w:val="both"/>
      </w:pPr>
      <w:r>
        <w:rPr>
          <w:rFonts w:ascii="Times New Roman" w:hAnsi="Times New Roman"/>
          <w:b w:val="0"/>
          <w:i/>
          <w:color w:val="CC0000"/>
          <w:sz w:val="24"/>
        </w:rPr>
        <w:t>Phản biện: CẢNH BÁO ĐẶC BIỆT QUAN TRỌNG — đây là MA có cỡ mẫu lớn nhất (n = 19.865) nhưng kết luận thận trọng. Phù hợp với Brown &amp; Carter 2025 (mindfulness universal thất bại UK). Hai bằng chứng độc lập đều cảnh báo: KHÔNG nên triển khai universal CBT phổ quát tại trường mà chưa có bằng chứng chất lượng cao hơn. Cho Việt Nam: nên thiết kế can thiệp TARGETED (cho học sinh có triệu chứng lo âu / trầm cảm cụ thể) thay vì cho toàn bộ học sinh — tăng dilution + giảm engagement.</w:t>
      </w:r>
    </w:p>
    <w:p>
      <w:pPr>
        <w:pStyle w:val="Heading2"/>
      </w:pPr>
      <w:r>
        <w:rPr>
          <w:rFonts w:ascii="Times New Roman" w:hAnsi="Times New Roman"/>
          <w:color w:val="000000"/>
        </w:rPr>
        <w:t>3.7. Zugman et al. (2024) và CAMS (Walkup et al. 2008) — Bằng chứng vàng về CBT + SSRI</w:t>
      </w:r>
    </w:p>
    <w:p>
      <w:pPr>
        <w:jc w:val="both"/>
      </w:pPr>
      <w:r>
        <w:rPr>
          <w:rFonts w:ascii="Times New Roman" w:hAnsi="Times New Roman"/>
          <w:b w:val="0"/>
          <w:i w:val="0"/>
          <w:sz w:val="24"/>
        </w:rPr>
        <w:t>Bài tổng quan đăng trên American Journal of Psychiatry vol. 181(3), tr. 189–200, March 2024 (Zugman et al. 2024). DOI 10.1176/appi.ajp.20231037. AJP — Q1, IF ≈ 18, tạp chí tâm thần hàng đầu thế giới. Tác giả từ National Institute of Mental Health (NIMH/NIH) — cơ quan nghiên cứu SKTT hàng đầu Mỹ.</w:t>
      </w:r>
    </w:p>
    <w:p>
      <w:pPr>
        <w:jc w:val="both"/>
      </w:pPr>
      <w:r>
        <w:rPr>
          <w:rFonts w:ascii="Times New Roman" w:hAnsi="Times New Roman"/>
          <w:b w:val="0"/>
          <w:i w:val="0"/>
          <w:sz w:val="24"/>
        </w:rPr>
        <w:t>Bài tập trung vào 3 rối loạn lo âu trẻ em chính: GAD (rối loạn lo âu tổng quát), separation anxiety (lo âu chia ly), và social anxiety disorder (lo âu xã hội). Tổng quan tài liệu CBT, SSRIs, kết hợp + hướng tương lai (ABMT, DCS, VR, biomarker).</w:t>
      </w:r>
    </w:p>
    <w:p>
      <w:r>
        <w:rPr>
          <w:rFonts w:ascii="Times New Roman" w:hAnsi="Times New Roman"/>
          <w:b/>
          <w:i w:val="0"/>
          <w:sz w:val="24"/>
        </w:rPr>
        <w:t>Trích dẫn cốt lõi từ thử nghiệm CAMS (Walkup et al. 2008, NEJM 359:2753–2766) — được Zugman et al. 2024 trình bày ở tr. 191:</w:t>
      </w:r>
    </w:p>
    <w:tbl>
      <w:tblPr>
        <w:tblStyle w:val="TableGrid"/>
        <w:tblW w:type="auto" w:w="0"/>
        <w:jc w:val="center"/>
        <w:tblLook w:firstColumn="1" w:firstRow="1" w:lastColumn="0" w:lastRow="0" w:noHBand="0" w:noVBand="1" w:val="04A0"/>
        <w:tblLayout w:type="fixed"/>
      </w:tblPr>
      <w:tblGrid>
        <w:gridCol w:w="3118"/>
        <w:gridCol w:w="1417"/>
        <w:gridCol w:w="850"/>
        <w:gridCol w:w="3402"/>
      </w:tblGrid>
      <w:tr>
        <w:tc>
          <w:tcPr>
            <w:tcW w:w="3118" w:type="dxa"/>
            <w:shd w:fill="D9E2F3" w:val="clear"/>
          </w:tcPr>
          <w:p>
            <w:pPr>
              <w:jc w:val="center"/>
            </w:pPr>
            <w:r>
              <w:rPr>
                <w:rFonts w:ascii="Times New Roman" w:hAnsi="Times New Roman"/>
                <w:b/>
                <w:sz w:val="20"/>
              </w:rPr>
              <w:t>Nhánh điều trị</w:t>
            </w:r>
          </w:p>
        </w:tc>
        <w:tc>
          <w:tcPr>
            <w:tcW w:w="1417" w:type="dxa"/>
            <w:shd w:fill="D9E2F3" w:val="clear"/>
          </w:tcPr>
          <w:p>
            <w:pPr>
              <w:jc w:val="center"/>
            </w:pPr>
            <w:r>
              <w:rPr>
                <w:rFonts w:ascii="Times New Roman" w:hAnsi="Times New Roman"/>
                <w:b/>
                <w:sz w:val="20"/>
              </w:rPr>
              <w:t>Tỷ lệ đáp ứng</w:t>
            </w:r>
          </w:p>
        </w:tc>
        <w:tc>
          <w:tcPr>
            <w:tcW w:w="850" w:type="dxa"/>
            <w:shd w:fill="D9E2F3" w:val="clear"/>
          </w:tcPr>
          <w:p>
            <w:pPr>
              <w:jc w:val="center"/>
            </w:pPr>
            <w:r>
              <w:rPr>
                <w:rFonts w:ascii="Times New Roman" w:hAnsi="Times New Roman"/>
                <w:b/>
                <w:sz w:val="20"/>
              </w:rPr>
              <w:t>NNT</w:t>
            </w:r>
          </w:p>
        </w:tc>
        <w:tc>
          <w:tcPr>
            <w:tcW w:w="3402" w:type="dxa"/>
            <w:shd w:fill="D9E2F3" w:val="clear"/>
          </w:tcPr>
          <w:p>
            <w:pPr>
              <w:jc w:val="center"/>
            </w:pPr>
            <w:r>
              <w:rPr>
                <w:rFonts w:ascii="Times New Roman" w:hAnsi="Times New Roman"/>
                <w:b/>
                <w:sz w:val="20"/>
              </w:rPr>
              <w:t>Ý nghĩa</w:t>
            </w:r>
          </w:p>
        </w:tc>
      </w:tr>
      <w:tr>
        <w:tc>
          <w:tcPr>
            <w:tcW w:w="3118" w:type="dxa"/>
          </w:tcPr>
          <w:p>
            <w:r>
              <w:rPr>
                <w:rFonts w:ascii="Times New Roman" w:hAnsi="Times New Roman"/>
                <w:sz w:val="20"/>
              </w:rPr>
              <w:t>CBT + SSRI (Sertraline) — KẾT HỢP</w:t>
            </w:r>
          </w:p>
        </w:tc>
        <w:tc>
          <w:tcPr>
            <w:tcW w:w="1417" w:type="dxa"/>
          </w:tcPr>
          <w:p>
            <w:r>
              <w:rPr>
                <w:rFonts w:ascii="Times New Roman" w:hAnsi="Times New Roman"/>
                <w:sz w:val="20"/>
              </w:rPr>
              <w:t>80,7 %</w:t>
            </w:r>
          </w:p>
        </w:tc>
        <w:tc>
          <w:tcPr>
            <w:tcW w:w="850" w:type="dxa"/>
          </w:tcPr>
          <w:p>
            <w:r>
              <w:rPr>
                <w:rFonts w:ascii="Times New Roman" w:hAnsi="Times New Roman"/>
                <w:sz w:val="20"/>
              </w:rPr>
              <w:t>~ 2</w:t>
            </w:r>
          </w:p>
        </w:tc>
        <w:tc>
          <w:tcPr>
            <w:tcW w:w="3402" w:type="dxa"/>
          </w:tcPr>
          <w:p>
            <w:r>
              <w:rPr>
                <w:rFonts w:ascii="Times New Roman" w:hAnsi="Times New Roman"/>
                <w:sz w:val="20"/>
              </w:rPr>
              <w:t>TỐT NHẤT — kết hợp tâm lý + thuốc</w:t>
            </w:r>
          </w:p>
        </w:tc>
      </w:tr>
      <w:tr>
        <w:tc>
          <w:tcPr>
            <w:tcW w:w="3118" w:type="dxa"/>
          </w:tcPr>
          <w:p>
            <w:r>
              <w:rPr>
                <w:rFonts w:ascii="Times New Roman" w:hAnsi="Times New Roman"/>
                <w:sz w:val="20"/>
              </w:rPr>
              <w:t>CBT đơn thuần</w:t>
            </w:r>
          </w:p>
        </w:tc>
        <w:tc>
          <w:tcPr>
            <w:tcW w:w="1417" w:type="dxa"/>
          </w:tcPr>
          <w:p>
            <w:r>
              <w:rPr>
                <w:rFonts w:ascii="Times New Roman" w:hAnsi="Times New Roman"/>
                <w:sz w:val="20"/>
              </w:rPr>
              <w:t>59,7 %</w:t>
            </w:r>
          </w:p>
        </w:tc>
        <w:tc>
          <w:tcPr>
            <w:tcW w:w="850" w:type="dxa"/>
          </w:tcPr>
          <w:p>
            <w:r>
              <w:rPr>
                <w:rFonts w:ascii="Times New Roman" w:hAnsi="Times New Roman"/>
                <w:sz w:val="20"/>
              </w:rPr>
              <w:t>~ 3</w:t>
            </w:r>
          </w:p>
        </w:tc>
        <w:tc>
          <w:tcPr>
            <w:tcW w:w="3402" w:type="dxa"/>
          </w:tcPr>
          <w:p>
            <w:r>
              <w:rPr>
                <w:rFonts w:ascii="Times New Roman" w:hAnsi="Times New Roman"/>
                <w:sz w:val="20"/>
              </w:rPr>
              <w:t>TỐT — phương pháp tâm lý đơn lẻ</w:t>
            </w:r>
          </w:p>
        </w:tc>
      </w:tr>
      <w:tr>
        <w:tc>
          <w:tcPr>
            <w:tcW w:w="3118" w:type="dxa"/>
          </w:tcPr>
          <w:p>
            <w:r>
              <w:rPr>
                <w:rFonts w:ascii="Times New Roman" w:hAnsi="Times New Roman"/>
                <w:sz w:val="20"/>
              </w:rPr>
              <w:t>SSRI đơn thuần (Sertraline)</w:t>
            </w:r>
          </w:p>
        </w:tc>
        <w:tc>
          <w:tcPr>
            <w:tcW w:w="1417" w:type="dxa"/>
          </w:tcPr>
          <w:p>
            <w:r>
              <w:rPr>
                <w:rFonts w:ascii="Times New Roman" w:hAnsi="Times New Roman"/>
                <w:sz w:val="20"/>
              </w:rPr>
              <w:t>54,9 %</w:t>
            </w:r>
          </w:p>
        </w:tc>
        <w:tc>
          <w:tcPr>
            <w:tcW w:w="850" w:type="dxa"/>
          </w:tcPr>
          <w:p>
            <w:r>
              <w:rPr>
                <w:rFonts w:ascii="Times New Roman" w:hAnsi="Times New Roman"/>
                <w:sz w:val="20"/>
              </w:rPr>
              <w:t>~ 4</w:t>
            </w:r>
          </w:p>
        </w:tc>
        <w:tc>
          <w:tcPr>
            <w:tcW w:w="3402" w:type="dxa"/>
          </w:tcPr>
          <w:p>
            <w:r>
              <w:rPr>
                <w:rFonts w:ascii="Times New Roman" w:hAnsi="Times New Roman"/>
                <w:sz w:val="20"/>
              </w:rPr>
              <w:t>KHÁ — thuốc đơn lẻ</w:t>
            </w:r>
          </w:p>
        </w:tc>
      </w:tr>
      <w:tr>
        <w:tc>
          <w:tcPr>
            <w:tcW w:w="3118" w:type="dxa"/>
          </w:tcPr>
          <w:p>
            <w:r>
              <w:rPr>
                <w:rFonts w:ascii="Times New Roman" w:hAnsi="Times New Roman"/>
                <w:sz w:val="20"/>
              </w:rPr>
              <w:t>Placebo</w:t>
            </w:r>
          </w:p>
        </w:tc>
        <w:tc>
          <w:tcPr>
            <w:tcW w:w="1417" w:type="dxa"/>
          </w:tcPr>
          <w:p>
            <w:r>
              <w:rPr>
                <w:rFonts w:ascii="Times New Roman" w:hAnsi="Times New Roman"/>
                <w:sz w:val="20"/>
              </w:rPr>
              <w:t>23,7 %</w:t>
            </w:r>
          </w:p>
        </w:tc>
        <w:tc>
          <w:tcPr>
            <w:tcW w:w="850" w:type="dxa"/>
          </w:tcPr>
          <w:p>
            <w:r>
              <w:rPr>
                <w:rFonts w:ascii="Times New Roman" w:hAnsi="Times New Roman"/>
                <w:sz w:val="20"/>
              </w:rPr>
              <w:t>—</w:t>
            </w:r>
          </w:p>
        </w:tc>
        <w:tc>
          <w:tcPr>
            <w:tcW w:w="3402" w:type="dxa"/>
          </w:tcPr>
          <w:p>
            <w:r>
              <w:rPr>
                <w:rFonts w:ascii="Times New Roman" w:hAnsi="Times New Roman"/>
                <w:sz w:val="20"/>
              </w:rPr>
              <w:t>BASELINE</w:t>
            </w:r>
          </w:p>
        </w:tc>
      </w:tr>
    </w:tbl>
    <w:p>
      <w:r>
        <w:rPr>
          <w:rFonts w:ascii="Times New Roman" w:hAnsi="Times New Roman"/>
          <w:b w:val="0"/>
          <w:i/>
          <w:sz w:val="20"/>
        </w:rPr>
        <w:t>Bảng 10. Đáp ứng điều trị nghiên cứu CAMS (n = 488 trẻ 7–17 tuổi, RCT đa trung tâm). Nguồn: Walkup et al. 2008, NEJM 359:2753–66 — trích dẫn trong Zugman et al. 2024, Am J Psychiatry 181(3), tr. 191. NNT = Number Needed to Treat.</w:t>
      </w:r>
    </w:p>
    <w:p>
      <w:pPr>
        <w:jc w:val="center"/>
      </w:pPr>
      <w:r>
        <w:drawing>
          <wp:inline xmlns:a="http://schemas.openxmlformats.org/drawingml/2006/main" xmlns:pic="http://schemas.openxmlformats.org/drawingml/2006/picture">
            <wp:extent cx="5580000" cy="3318323"/>
            <wp:docPr id="8" name="Picture 8"/>
            <wp:cNvGraphicFramePr>
              <a:graphicFrameLocks noChangeAspect="1"/>
            </wp:cNvGraphicFramePr>
            <a:graphic>
              <a:graphicData uri="http://schemas.openxmlformats.org/drawingml/2006/picture">
                <pic:pic>
                  <pic:nvPicPr>
                    <pic:cNvPr id="0" name="chart5_CAMS_Walkup.png"/>
                    <pic:cNvPicPr/>
                  </pic:nvPicPr>
                  <pic:blipFill>
                    <a:blip r:embed="rId16"/>
                    <a:stretch>
                      <a:fillRect/>
                    </a:stretch>
                  </pic:blipFill>
                  <pic:spPr>
                    <a:xfrm>
                      <a:off x="0" y="0"/>
                      <a:ext cx="5580000" cy="3318323"/>
                    </a:xfrm>
                    <a:prstGeom prst="rect"/>
                  </pic:spPr>
                </pic:pic>
              </a:graphicData>
            </a:graphic>
          </wp:inline>
        </w:drawing>
      </w:r>
    </w:p>
    <w:p>
      <w:pPr>
        <w:jc w:val="both"/>
      </w:pPr>
      <w:r>
        <w:rPr>
          <w:rFonts w:ascii="Times New Roman" w:hAnsi="Times New Roman"/>
          <w:b w:val="0"/>
          <w:i/>
          <w:color w:val="CC0000"/>
          <w:sz w:val="24"/>
        </w:rPr>
        <w:t>Phản biện: CAMS là RCT đa trung tâm 488 trẻ 7–17 tuổi — tiêu chuẩn vàng (gold standard) cho điều trị RLLA nhi khoa. Mặc dù từ 2008, CAMS vẫn được trích dẫn rộng rãi và là cơ sở cho hướng dẫn lâm sàng quốc tế. Phát hiện cốt lõi: kết hợp CBT + SSRI hiệu quả nhất, nhưng CBT đơn thuần (không thuốc) cũng đạt 59,7 % — gấp 2,5 lần placebo. Hạn chế: chỉ Mỹ; có thể không generalizable trực tiếp cho LMIC do chi phí thuốc + chuyên gia + cân nhắc đạo đức về SSRI cho VTN. Cho Việt Nam: nên ƯU TIÊN CBT đơn thuần (không SSRI) — phù hợp với năng lực chuyên môn, chi phí và đạo đức kê đơn cho VTN tại VN.</w:t>
      </w:r>
    </w:p>
    <w:p>
      <w:r>
        <w:br w:type="page"/>
      </w:r>
    </w:p>
    <w:p>
      <w:pPr>
        <w:pStyle w:val="Heading1"/>
      </w:pPr>
      <w:r>
        <w:rPr>
          <w:rFonts w:ascii="Times New Roman" w:hAnsi="Times New Roman"/>
          <w:color w:val="000000"/>
        </w:rPr>
        <w:t>PHẦN IV — TỔNG KẾT VÀ KHUYẾN NGHỊ CHO VIỆT NAM</w:t>
      </w:r>
    </w:p>
    <w:p>
      <w:pPr>
        <w:pStyle w:val="Heading2"/>
      </w:pPr>
      <w:r>
        <w:rPr>
          <w:rFonts w:ascii="Times New Roman" w:hAnsi="Times New Roman"/>
          <w:color w:val="000000"/>
        </w:rPr>
        <w:t>4.1. So sánh ba vùng địa lý</w:t>
      </w:r>
    </w:p>
    <w:tbl>
      <w:tblPr>
        <w:tblStyle w:val="TableGrid"/>
        <w:tblW w:type="auto" w:w="0"/>
        <w:jc w:val="center"/>
        <w:tblLook w:firstColumn="1" w:firstRow="1" w:lastColumn="0" w:lastRow="0" w:noHBand="0" w:noVBand="1" w:val="04A0"/>
        <w:tblLayout w:type="fixed"/>
      </w:tblPr>
      <w:tblGrid>
        <w:gridCol w:w="1984"/>
        <w:gridCol w:w="2268"/>
        <w:gridCol w:w="2268"/>
        <w:gridCol w:w="2268"/>
      </w:tblGrid>
      <w:tr>
        <w:tc>
          <w:tcPr>
            <w:tcW w:w="1984" w:type="dxa"/>
            <w:shd w:fill="D9E2F3" w:val="clear"/>
          </w:tcPr>
          <w:p>
            <w:pPr>
              <w:jc w:val="center"/>
            </w:pPr>
            <w:r>
              <w:rPr>
                <w:rFonts w:ascii="Times New Roman" w:hAnsi="Times New Roman"/>
                <w:b/>
                <w:sz w:val="20"/>
              </w:rPr>
              <w:t>Tiêu chí</w:t>
            </w:r>
          </w:p>
        </w:tc>
        <w:tc>
          <w:tcPr>
            <w:tcW w:w="2268" w:type="dxa"/>
            <w:shd w:fill="D9E2F3" w:val="clear"/>
          </w:tcPr>
          <w:p>
            <w:pPr>
              <w:jc w:val="center"/>
            </w:pPr>
            <w:r>
              <w:rPr>
                <w:rFonts w:ascii="Times New Roman" w:hAnsi="Times New Roman"/>
                <w:b/>
                <w:sz w:val="20"/>
              </w:rPr>
              <w:t>Việt Nam</w:t>
            </w:r>
          </w:p>
        </w:tc>
        <w:tc>
          <w:tcPr>
            <w:tcW w:w="2268" w:type="dxa"/>
            <w:shd w:fill="D9E2F3" w:val="clear"/>
          </w:tcPr>
          <w:p>
            <w:pPr>
              <w:jc w:val="center"/>
            </w:pPr>
            <w:r>
              <w:rPr>
                <w:rFonts w:ascii="Times New Roman" w:hAnsi="Times New Roman"/>
                <w:b/>
                <w:sz w:val="20"/>
              </w:rPr>
              <w:t>Châu Á (ngoài VN)</w:t>
            </w:r>
          </w:p>
        </w:tc>
        <w:tc>
          <w:tcPr>
            <w:tcW w:w="2268" w:type="dxa"/>
            <w:shd w:fill="D9E2F3" w:val="clear"/>
          </w:tcPr>
          <w:p>
            <w:pPr>
              <w:jc w:val="center"/>
            </w:pPr>
            <w:r>
              <w:rPr>
                <w:rFonts w:ascii="Times New Roman" w:hAnsi="Times New Roman"/>
                <w:b/>
                <w:sz w:val="20"/>
              </w:rPr>
              <w:t>Châu Âu – Úc – Mỹ</w:t>
            </w:r>
          </w:p>
        </w:tc>
      </w:tr>
      <w:tr>
        <w:tc>
          <w:tcPr>
            <w:tcW w:w="1984" w:type="dxa"/>
          </w:tcPr>
          <w:p>
            <w:r>
              <w:rPr>
                <w:rFonts w:ascii="Times New Roman" w:hAnsi="Times New Roman"/>
                <w:sz w:val="20"/>
              </w:rPr>
              <w:t>Số bài can thiệp</w:t>
            </w:r>
          </w:p>
        </w:tc>
        <w:tc>
          <w:tcPr>
            <w:tcW w:w="2268" w:type="dxa"/>
          </w:tcPr>
          <w:p>
            <w:r>
              <w:rPr>
                <w:rFonts w:ascii="Times New Roman" w:hAnsi="Times New Roman"/>
                <w:sz w:val="20"/>
              </w:rPr>
              <w:t>1</w:t>
            </w:r>
          </w:p>
        </w:tc>
        <w:tc>
          <w:tcPr>
            <w:tcW w:w="2268" w:type="dxa"/>
          </w:tcPr>
          <w:p>
            <w:r>
              <w:rPr>
                <w:rFonts w:ascii="Times New Roman" w:hAnsi="Times New Roman"/>
                <w:sz w:val="20"/>
              </w:rPr>
              <w:t>7</w:t>
            </w:r>
          </w:p>
        </w:tc>
        <w:tc>
          <w:tcPr>
            <w:tcW w:w="2268" w:type="dxa"/>
          </w:tcPr>
          <w:p>
            <w:r>
              <w:rPr>
                <w:rFonts w:ascii="Times New Roman" w:hAnsi="Times New Roman"/>
                <w:sz w:val="20"/>
              </w:rPr>
              <w:t>7</w:t>
            </w:r>
          </w:p>
        </w:tc>
      </w:tr>
      <w:tr>
        <w:tc>
          <w:tcPr>
            <w:tcW w:w="1984" w:type="dxa"/>
          </w:tcPr>
          <w:p>
            <w:r>
              <w:rPr>
                <w:rFonts w:ascii="Times New Roman" w:hAnsi="Times New Roman"/>
                <w:sz w:val="20"/>
              </w:rPr>
              <w:t>Đối tượng VTN</w:t>
            </w:r>
          </w:p>
        </w:tc>
        <w:tc>
          <w:tcPr>
            <w:tcW w:w="2268" w:type="dxa"/>
          </w:tcPr>
          <w:p>
            <w:r>
              <w:rPr>
                <w:rFonts w:ascii="Times New Roman" w:hAnsi="Times New Roman"/>
                <w:sz w:val="20"/>
              </w:rPr>
              <w:t>KHÔNG (người lớn)</w:t>
            </w:r>
          </w:p>
        </w:tc>
        <w:tc>
          <w:tcPr>
            <w:tcW w:w="2268" w:type="dxa"/>
          </w:tcPr>
          <w:p>
            <w:r>
              <w:rPr>
                <w:rFonts w:ascii="Times New Roman" w:hAnsi="Times New Roman"/>
                <w:sz w:val="20"/>
              </w:rPr>
              <w:t>CÓ (đa số)</w:t>
            </w:r>
          </w:p>
        </w:tc>
        <w:tc>
          <w:tcPr>
            <w:tcW w:w="2268" w:type="dxa"/>
          </w:tcPr>
          <w:p>
            <w:r>
              <w:rPr>
                <w:rFonts w:ascii="Times New Roman" w:hAnsi="Times New Roman"/>
                <w:sz w:val="20"/>
              </w:rPr>
              <w:t>CÓ (đa số)</w:t>
            </w:r>
          </w:p>
        </w:tc>
      </w:tr>
      <w:tr>
        <w:tc>
          <w:tcPr>
            <w:tcW w:w="1984" w:type="dxa"/>
          </w:tcPr>
          <w:p>
            <w:r>
              <w:rPr>
                <w:rFonts w:ascii="Times New Roman" w:hAnsi="Times New Roman"/>
                <w:sz w:val="20"/>
              </w:rPr>
              <w:t>Loại NC chủ yếu</w:t>
            </w:r>
          </w:p>
        </w:tc>
        <w:tc>
          <w:tcPr>
            <w:tcW w:w="2268" w:type="dxa"/>
          </w:tcPr>
          <w:p>
            <w:r>
              <w:rPr>
                <w:rFonts w:ascii="Times New Roman" w:hAnsi="Times New Roman"/>
                <w:sz w:val="20"/>
              </w:rPr>
              <w:t>Trước–sau, không đối chứng</w:t>
            </w:r>
          </w:p>
        </w:tc>
        <w:tc>
          <w:tcPr>
            <w:tcW w:w="2268" w:type="dxa"/>
          </w:tcPr>
          <w:p>
            <w:r>
              <w:rPr>
                <w:rFonts w:ascii="Times New Roman" w:hAnsi="Times New Roman"/>
                <w:sz w:val="20"/>
              </w:rPr>
              <w:t>RCT + NMA + cluster RCT</w:t>
            </w:r>
          </w:p>
        </w:tc>
        <w:tc>
          <w:tcPr>
            <w:tcW w:w="2268" w:type="dxa"/>
          </w:tcPr>
          <w:p>
            <w:r>
              <w:rPr>
                <w:rFonts w:ascii="Times New Roman" w:hAnsi="Times New Roman"/>
                <w:sz w:val="20"/>
              </w:rPr>
              <w:t>RCT + MA + Bayesian MA</w:t>
            </w:r>
          </w:p>
        </w:tc>
      </w:tr>
      <w:tr>
        <w:tc>
          <w:tcPr>
            <w:tcW w:w="1984" w:type="dxa"/>
          </w:tcPr>
          <w:p>
            <w:r>
              <w:rPr>
                <w:rFonts w:ascii="Times New Roman" w:hAnsi="Times New Roman"/>
                <w:sz w:val="20"/>
              </w:rPr>
              <w:t>Phương pháp chính</w:t>
            </w:r>
          </w:p>
        </w:tc>
        <w:tc>
          <w:tcPr>
            <w:tcW w:w="2268" w:type="dxa"/>
          </w:tcPr>
          <w:p>
            <w:r>
              <w:rPr>
                <w:rFonts w:ascii="Times New Roman" w:hAnsi="Times New Roman"/>
                <w:sz w:val="20"/>
              </w:rPr>
              <w:t>Thư giãn–Luyện tập (Yoga + thở)</w:t>
            </w:r>
          </w:p>
        </w:tc>
        <w:tc>
          <w:tcPr>
            <w:tcW w:w="2268" w:type="dxa"/>
          </w:tcPr>
          <w:p>
            <w:r>
              <w:rPr>
                <w:rFonts w:ascii="Times New Roman" w:hAnsi="Times New Roman"/>
                <w:sz w:val="20"/>
              </w:rPr>
              <w:t>CBT + iCBT + Mobile + CA-CBT</w:t>
            </w:r>
          </w:p>
        </w:tc>
        <w:tc>
          <w:tcPr>
            <w:tcW w:w="2268" w:type="dxa"/>
          </w:tcPr>
          <w:p>
            <w:r>
              <w:rPr>
                <w:rFonts w:ascii="Times New Roman" w:hAnsi="Times New Roman"/>
                <w:sz w:val="20"/>
              </w:rPr>
              <w:t>CBT + iCBT + DMHI + Mindfulness</w:t>
            </w:r>
          </w:p>
        </w:tc>
      </w:tr>
      <w:tr>
        <w:tc>
          <w:tcPr>
            <w:tcW w:w="1984" w:type="dxa"/>
          </w:tcPr>
          <w:p>
            <w:r>
              <w:rPr>
                <w:rFonts w:ascii="Times New Roman" w:hAnsi="Times New Roman"/>
                <w:sz w:val="20"/>
              </w:rPr>
              <w:t>Bối cảnh thực hiện</w:t>
            </w:r>
          </w:p>
        </w:tc>
        <w:tc>
          <w:tcPr>
            <w:tcW w:w="2268" w:type="dxa"/>
          </w:tcPr>
          <w:p>
            <w:r>
              <w:rPr>
                <w:rFonts w:ascii="Times New Roman" w:hAnsi="Times New Roman"/>
                <w:sz w:val="20"/>
              </w:rPr>
              <w:t>Bệnh viện (nội trú)</w:t>
            </w:r>
          </w:p>
        </w:tc>
        <w:tc>
          <w:tcPr>
            <w:tcW w:w="2268" w:type="dxa"/>
          </w:tcPr>
          <w:p>
            <w:r>
              <w:rPr>
                <w:rFonts w:ascii="Times New Roman" w:hAnsi="Times New Roman"/>
                <w:sz w:val="20"/>
              </w:rPr>
              <w:t>Trường + BV + Online</w:t>
            </w:r>
          </w:p>
        </w:tc>
        <w:tc>
          <w:tcPr>
            <w:tcW w:w="2268" w:type="dxa"/>
          </w:tcPr>
          <w:p>
            <w:r>
              <w:rPr>
                <w:rFonts w:ascii="Times New Roman" w:hAnsi="Times New Roman"/>
                <w:sz w:val="20"/>
              </w:rPr>
              <w:t>Trường + Online + Phòng khám</w:t>
            </w:r>
          </w:p>
        </w:tc>
      </w:tr>
      <w:tr>
        <w:tc>
          <w:tcPr>
            <w:tcW w:w="1984" w:type="dxa"/>
          </w:tcPr>
          <w:p>
            <w:r>
              <w:rPr>
                <w:rFonts w:ascii="Times New Roman" w:hAnsi="Times New Roman"/>
                <w:sz w:val="20"/>
              </w:rPr>
              <w:t>Bằng chứng cao nhất</w:t>
            </w:r>
          </w:p>
        </w:tc>
        <w:tc>
          <w:tcPr>
            <w:tcW w:w="2268" w:type="dxa"/>
          </w:tcPr>
          <w:p>
            <w:r>
              <w:rPr>
                <w:rFonts w:ascii="Times New Roman" w:hAnsi="Times New Roman"/>
                <w:sz w:val="20"/>
              </w:rPr>
              <w:t>Yếu (1 luận án)</w:t>
            </w:r>
          </w:p>
        </w:tc>
        <w:tc>
          <w:tcPr>
            <w:tcW w:w="2268" w:type="dxa"/>
          </w:tcPr>
          <w:p>
            <w:r>
              <w:rPr>
                <w:rFonts w:ascii="Times New Roman" w:hAnsi="Times New Roman"/>
                <w:sz w:val="20"/>
              </w:rPr>
              <w:t>Mạnh (Xian NMA)</w:t>
            </w:r>
          </w:p>
        </w:tc>
        <w:tc>
          <w:tcPr>
            <w:tcW w:w="2268" w:type="dxa"/>
          </w:tcPr>
          <w:p>
            <w:r>
              <w:rPr>
                <w:rFonts w:ascii="Times New Roman" w:hAnsi="Times New Roman"/>
                <w:sz w:val="20"/>
              </w:rPr>
              <w:t>Rất mạnh (CAMS NEJM, Bayesian MA)</w:t>
            </w:r>
          </w:p>
        </w:tc>
      </w:tr>
      <w:tr>
        <w:tc>
          <w:tcPr>
            <w:tcW w:w="1984" w:type="dxa"/>
          </w:tcPr>
          <w:p>
            <w:r>
              <w:rPr>
                <w:rFonts w:ascii="Times New Roman" w:hAnsi="Times New Roman"/>
                <w:sz w:val="20"/>
              </w:rPr>
              <w:t>Khoảng trống</w:t>
            </w:r>
          </w:p>
        </w:tc>
        <w:tc>
          <w:tcPr>
            <w:tcW w:w="2268" w:type="dxa"/>
          </w:tcPr>
          <w:p>
            <w:r>
              <w:rPr>
                <w:rFonts w:ascii="Times New Roman" w:hAnsi="Times New Roman"/>
                <w:sz w:val="20"/>
              </w:rPr>
              <w:t>CỰC LỚN — 0 RCT cho VTN</w:t>
            </w:r>
          </w:p>
        </w:tc>
        <w:tc>
          <w:tcPr>
            <w:tcW w:w="2268" w:type="dxa"/>
          </w:tcPr>
          <w:p>
            <w:r>
              <w:rPr>
                <w:rFonts w:ascii="Times New Roman" w:hAnsi="Times New Roman"/>
                <w:sz w:val="20"/>
              </w:rPr>
              <w:t>Vừa — thiếu cộng đồng/gia đình</w:t>
            </w:r>
          </w:p>
        </w:tc>
        <w:tc>
          <w:tcPr>
            <w:tcW w:w="2268" w:type="dxa"/>
          </w:tcPr>
          <w:p>
            <w:r>
              <w:rPr>
                <w:rFonts w:ascii="Times New Roman" w:hAnsi="Times New Roman"/>
                <w:sz w:val="20"/>
              </w:rPr>
              <w:t>Nhỏ — đã có nhiều bằng chứng</w:t>
            </w:r>
          </w:p>
        </w:tc>
      </w:tr>
    </w:tbl>
    <w:p>
      <w:r>
        <w:rPr>
          <w:rFonts w:ascii="Times New Roman" w:hAnsi="Times New Roman"/>
          <w:b w:val="0"/>
          <w:i/>
          <w:sz w:val="20"/>
        </w:rPr>
        <w:t>Bảng 11. So sánh tổng hợp ba vùng địa lý.</w:t>
      </w:r>
    </w:p>
    <w:p>
      <w:pPr>
        <w:pStyle w:val="Heading2"/>
      </w:pPr>
      <w:r>
        <w:rPr>
          <w:rFonts w:ascii="Times New Roman" w:hAnsi="Times New Roman"/>
          <w:color w:val="000000"/>
        </w:rPr>
        <w:t>4.2. Xếp hạng 13 phương pháp can thiệp dựa trên tổng hợp bằng chứng</w:t>
      </w:r>
    </w:p>
    <w:tbl>
      <w:tblPr>
        <w:tblStyle w:val="TableGrid"/>
        <w:tblW w:type="auto" w:w="0"/>
        <w:jc w:val="center"/>
        <w:tblLook w:firstColumn="1" w:firstRow="1" w:lastColumn="0" w:lastRow="0" w:noHBand="0" w:noVBand="1" w:val="04A0"/>
        <w:tblLayout w:type="fixed"/>
      </w:tblPr>
      <w:tblGrid>
        <w:gridCol w:w="567"/>
        <w:gridCol w:w="2268"/>
        <w:gridCol w:w="2268"/>
        <w:gridCol w:w="1984"/>
        <w:gridCol w:w="1701"/>
      </w:tblGrid>
      <w:tr>
        <w:tc>
          <w:tcPr>
            <w:tcW w:w="567" w:type="dxa"/>
            <w:shd w:fill="D9E2F3" w:val="clear"/>
          </w:tcPr>
          <w:p>
            <w:pPr>
              <w:jc w:val="center"/>
            </w:pPr>
            <w:r>
              <w:rPr>
                <w:rFonts w:ascii="Times New Roman" w:hAnsi="Times New Roman"/>
                <w:b/>
                <w:sz w:val="20"/>
              </w:rPr>
              <w:t>Hạng</w:t>
            </w:r>
          </w:p>
        </w:tc>
        <w:tc>
          <w:tcPr>
            <w:tcW w:w="2268" w:type="dxa"/>
            <w:shd w:fill="D9E2F3" w:val="clear"/>
          </w:tcPr>
          <w:p>
            <w:pPr>
              <w:jc w:val="center"/>
            </w:pPr>
            <w:r>
              <w:rPr>
                <w:rFonts w:ascii="Times New Roman" w:hAnsi="Times New Roman"/>
                <w:b/>
                <w:sz w:val="20"/>
              </w:rPr>
              <w:t>Phương pháp</w:t>
            </w:r>
          </w:p>
        </w:tc>
        <w:tc>
          <w:tcPr>
            <w:tcW w:w="2268" w:type="dxa"/>
            <w:shd w:fill="D9E2F3" w:val="clear"/>
          </w:tcPr>
          <w:p>
            <w:pPr>
              <w:jc w:val="center"/>
            </w:pPr>
            <w:r>
              <w:rPr>
                <w:rFonts w:ascii="Times New Roman" w:hAnsi="Times New Roman"/>
                <w:b/>
                <w:sz w:val="20"/>
              </w:rPr>
              <w:t>Bằng chứng tốt nhất</w:t>
            </w:r>
          </w:p>
        </w:tc>
        <w:tc>
          <w:tcPr>
            <w:tcW w:w="1984" w:type="dxa"/>
            <w:shd w:fill="D9E2F3" w:val="clear"/>
          </w:tcPr>
          <w:p>
            <w:pPr>
              <w:jc w:val="center"/>
            </w:pPr>
            <w:r>
              <w:rPr>
                <w:rFonts w:ascii="Times New Roman" w:hAnsi="Times New Roman"/>
                <w:b/>
                <w:sz w:val="20"/>
              </w:rPr>
              <w:t>Phù hợp VN</w:t>
            </w:r>
          </w:p>
        </w:tc>
        <w:tc>
          <w:tcPr>
            <w:tcW w:w="1701" w:type="dxa"/>
            <w:shd w:fill="D9E2F3" w:val="clear"/>
          </w:tcPr>
          <w:p>
            <w:pPr>
              <w:jc w:val="center"/>
            </w:pPr>
            <w:r>
              <w:rPr>
                <w:rFonts w:ascii="Times New Roman" w:hAnsi="Times New Roman"/>
                <w:b/>
                <w:sz w:val="20"/>
              </w:rPr>
              <w:t>Khuyến nghị VN</w:t>
            </w:r>
          </w:p>
        </w:tc>
      </w:tr>
      <w:tr>
        <w:tc>
          <w:tcPr>
            <w:tcW w:w="567" w:type="dxa"/>
          </w:tcPr>
          <w:p>
            <w:r>
              <w:rPr>
                <w:rFonts w:ascii="Times New Roman" w:hAnsi="Times New Roman"/>
                <w:sz w:val="20"/>
              </w:rPr>
              <w:t>1</w:t>
            </w:r>
          </w:p>
        </w:tc>
        <w:tc>
          <w:tcPr>
            <w:tcW w:w="2268" w:type="dxa"/>
          </w:tcPr>
          <w:p>
            <w:r>
              <w:rPr>
                <w:rFonts w:ascii="Times New Roman" w:hAnsi="Times New Roman"/>
                <w:sz w:val="20"/>
              </w:rPr>
              <w:t>CBT + SSRI kết hợp</w:t>
            </w:r>
          </w:p>
        </w:tc>
        <w:tc>
          <w:tcPr>
            <w:tcW w:w="2268" w:type="dxa"/>
          </w:tcPr>
          <w:p>
            <w:r>
              <w:rPr>
                <w:rFonts w:ascii="Times New Roman" w:hAnsi="Times New Roman"/>
                <w:sz w:val="20"/>
              </w:rPr>
              <w:t>CAMS NEJM 80,7 %</w:t>
            </w:r>
          </w:p>
        </w:tc>
        <w:tc>
          <w:tcPr>
            <w:tcW w:w="1984" w:type="dxa"/>
          </w:tcPr>
          <w:p>
            <w:r>
              <w:rPr>
                <w:rFonts w:ascii="Times New Roman" w:hAnsi="Times New Roman"/>
                <w:sz w:val="20"/>
              </w:rPr>
              <w:t>Hạn chế (chi phí, đạo đức)</w:t>
            </w:r>
          </w:p>
        </w:tc>
        <w:tc>
          <w:tcPr>
            <w:tcW w:w="1701" w:type="dxa"/>
          </w:tcPr>
          <w:p>
            <w:r>
              <w:rPr>
                <w:rFonts w:ascii="Times New Roman" w:hAnsi="Times New Roman"/>
                <w:sz w:val="20"/>
              </w:rPr>
              <w:t>Chỉ ca nặng có chỉ định</w:t>
            </w:r>
          </w:p>
        </w:tc>
      </w:tr>
      <w:tr>
        <w:tc>
          <w:tcPr>
            <w:tcW w:w="567" w:type="dxa"/>
          </w:tcPr>
          <w:p>
            <w:r>
              <w:rPr>
                <w:rFonts w:ascii="Times New Roman" w:hAnsi="Times New Roman"/>
                <w:sz w:val="20"/>
              </w:rPr>
              <w:t>2</w:t>
            </w:r>
          </w:p>
        </w:tc>
        <w:tc>
          <w:tcPr>
            <w:tcW w:w="2268" w:type="dxa"/>
          </w:tcPr>
          <w:p>
            <w:r>
              <w:rPr>
                <w:rFonts w:ascii="Times New Roman" w:hAnsi="Times New Roman"/>
                <w:sz w:val="20"/>
              </w:rPr>
              <w:t>CBT cá nhân / nhóm</w:t>
            </w:r>
          </w:p>
        </w:tc>
        <w:tc>
          <w:tcPr>
            <w:tcW w:w="2268" w:type="dxa"/>
          </w:tcPr>
          <w:p>
            <w:r>
              <w:rPr>
                <w:rFonts w:ascii="Times New Roman" w:hAnsi="Times New Roman"/>
                <w:sz w:val="20"/>
              </w:rPr>
              <w:t>CAMS 59,7 %; Li 2025 SUCRA 0,66</w:t>
            </w:r>
          </w:p>
        </w:tc>
        <w:tc>
          <w:tcPr>
            <w:tcW w:w="1984" w:type="dxa"/>
          </w:tcPr>
          <w:p>
            <w:r>
              <w:rPr>
                <w:rFonts w:ascii="Times New Roman" w:hAnsi="Times New Roman"/>
                <w:sz w:val="20"/>
              </w:rPr>
              <w:t>CỐT LÕI</w:t>
            </w:r>
          </w:p>
        </w:tc>
        <w:tc>
          <w:tcPr>
            <w:tcW w:w="1701" w:type="dxa"/>
          </w:tcPr>
          <w:p>
            <w:r>
              <w:rPr>
                <w:rFonts w:ascii="Times New Roman" w:hAnsi="Times New Roman"/>
                <w:sz w:val="20"/>
              </w:rPr>
              <w:t>CHÍNH — đầu tư đào tạo</w:t>
            </w:r>
          </w:p>
        </w:tc>
      </w:tr>
      <w:tr>
        <w:tc>
          <w:tcPr>
            <w:tcW w:w="567" w:type="dxa"/>
          </w:tcPr>
          <w:p>
            <w:r>
              <w:rPr>
                <w:rFonts w:ascii="Times New Roman" w:hAnsi="Times New Roman"/>
                <w:sz w:val="20"/>
              </w:rPr>
              <w:t>3</w:t>
            </w:r>
          </w:p>
        </w:tc>
        <w:tc>
          <w:tcPr>
            <w:tcW w:w="2268" w:type="dxa"/>
          </w:tcPr>
          <w:p>
            <w:r>
              <w:rPr>
                <w:rFonts w:ascii="Times New Roman" w:hAnsi="Times New Roman"/>
                <w:sz w:val="20"/>
              </w:rPr>
              <w:t>iCBT cho SAD</w:t>
            </w:r>
          </w:p>
        </w:tc>
        <w:tc>
          <w:tcPr>
            <w:tcW w:w="2268" w:type="dxa"/>
          </w:tcPr>
          <w:p>
            <w:r>
              <w:rPr>
                <w:rFonts w:ascii="Times New Roman" w:hAnsi="Times New Roman"/>
                <w:sz w:val="20"/>
              </w:rPr>
              <w:t>Xian 2024 NMA hạng 1; Walder g = 0,878</w:t>
            </w:r>
          </w:p>
        </w:tc>
        <w:tc>
          <w:tcPr>
            <w:tcW w:w="1984" w:type="dxa"/>
          </w:tcPr>
          <w:p>
            <w:r>
              <w:rPr>
                <w:rFonts w:ascii="Times New Roman" w:hAnsi="Times New Roman"/>
                <w:sz w:val="20"/>
              </w:rPr>
              <w:t>CAO — VTN số hoá</w:t>
            </w:r>
          </w:p>
        </w:tc>
        <w:tc>
          <w:tcPr>
            <w:tcW w:w="1701" w:type="dxa"/>
          </w:tcPr>
          <w:p>
            <w:r>
              <w:rPr>
                <w:rFonts w:ascii="Times New Roman" w:hAnsi="Times New Roman"/>
                <w:sz w:val="20"/>
              </w:rPr>
              <w:t>Phát triển app tiếng Việt</w:t>
            </w:r>
          </w:p>
        </w:tc>
      </w:tr>
      <w:tr>
        <w:tc>
          <w:tcPr>
            <w:tcW w:w="567" w:type="dxa"/>
          </w:tcPr>
          <w:p>
            <w:r>
              <w:rPr>
                <w:rFonts w:ascii="Times New Roman" w:hAnsi="Times New Roman"/>
                <w:sz w:val="20"/>
              </w:rPr>
              <w:t>4</w:t>
            </w:r>
          </w:p>
        </w:tc>
        <w:tc>
          <w:tcPr>
            <w:tcW w:w="2268" w:type="dxa"/>
          </w:tcPr>
          <w:p>
            <w:r>
              <w:rPr>
                <w:rFonts w:ascii="Times New Roman" w:hAnsi="Times New Roman"/>
                <w:sz w:val="20"/>
              </w:rPr>
              <w:t>gCBT (CBT nhóm)</w:t>
            </w:r>
          </w:p>
        </w:tc>
        <w:tc>
          <w:tcPr>
            <w:tcW w:w="2268" w:type="dxa"/>
          </w:tcPr>
          <w:p>
            <w:r>
              <w:rPr>
                <w:rFonts w:ascii="Times New Roman" w:hAnsi="Times New Roman"/>
                <w:sz w:val="20"/>
              </w:rPr>
              <w:t>Xian 2024 NMA hạng 2 chức năng</w:t>
            </w:r>
          </w:p>
        </w:tc>
        <w:tc>
          <w:tcPr>
            <w:tcW w:w="1984" w:type="dxa"/>
          </w:tcPr>
          <w:p>
            <w:r>
              <w:rPr>
                <w:rFonts w:ascii="Times New Roman" w:hAnsi="Times New Roman"/>
                <w:sz w:val="20"/>
              </w:rPr>
              <w:t>CAO — chi phí thấp</w:t>
            </w:r>
          </w:p>
        </w:tc>
        <w:tc>
          <w:tcPr>
            <w:tcW w:w="1701" w:type="dxa"/>
          </w:tcPr>
          <w:p>
            <w:r>
              <w:rPr>
                <w:rFonts w:ascii="Times New Roman" w:hAnsi="Times New Roman"/>
                <w:sz w:val="20"/>
              </w:rPr>
              <w:t>Triển khai trường</w:t>
            </w:r>
          </w:p>
        </w:tc>
      </w:tr>
      <w:tr>
        <w:tc>
          <w:tcPr>
            <w:tcW w:w="567" w:type="dxa"/>
          </w:tcPr>
          <w:p>
            <w:r>
              <w:rPr>
                <w:rFonts w:ascii="Times New Roman" w:hAnsi="Times New Roman"/>
                <w:sz w:val="20"/>
              </w:rPr>
              <w:t>5</w:t>
            </w:r>
          </w:p>
        </w:tc>
        <w:tc>
          <w:tcPr>
            <w:tcW w:w="2268" w:type="dxa"/>
          </w:tcPr>
          <w:p>
            <w:r>
              <w:rPr>
                <w:rFonts w:ascii="Times New Roman" w:hAnsi="Times New Roman"/>
                <w:sz w:val="20"/>
              </w:rPr>
              <w:t>CBT do GV (school-based)</w:t>
            </w:r>
          </w:p>
        </w:tc>
        <w:tc>
          <w:tcPr>
            <w:tcW w:w="2268" w:type="dxa"/>
          </w:tcPr>
          <w:p>
            <w:r>
              <w:rPr>
                <w:rFonts w:ascii="Times New Roman" w:hAnsi="Times New Roman"/>
                <w:sz w:val="20"/>
              </w:rPr>
              <w:t>De Silva 2024 cluster RCT 720 HS</w:t>
            </w:r>
          </w:p>
        </w:tc>
        <w:tc>
          <w:tcPr>
            <w:tcW w:w="1984" w:type="dxa"/>
          </w:tcPr>
          <w:p>
            <w:r>
              <w:rPr>
                <w:rFonts w:ascii="Times New Roman" w:hAnsi="Times New Roman"/>
                <w:sz w:val="20"/>
              </w:rPr>
              <w:t>CAO — LMIC khả thi</w:t>
            </w:r>
          </w:p>
        </w:tc>
        <w:tc>
          <w:tcPr>
            <w:tcW w:w="1701" w:type="dxa"/>
          </w:tcPr>
          <w:p>
            <w:r>
              <w:rPr>
                <w:rFonts w:ascii="Times New Roman" w:hAnsi="Times New Roman"/>
                <w:sz w:val="20"/>
              </w:rPr>
              <w:t>Đào tạo GV</w:t>
            </w:r>
          </w:p>
        </w:tc>
      </w:tr>
      <w:tr>
        <w:tc>
          <w:tcPr>
            <w:tcW w:w="567" w:type="dxa"/>
          </w:tcPr>
          <w:p>
            <w:r>
              <w:rPr>
                <w:rFonts w:ascii="Times New Roman" w:hAnsi="Times New Roman"/>
                <w:sz w:val="20"/>
              </w:rPr>
              <w:t>6</w:t>
            </w:r>
          </w:p>
        </w:tc>
        <w:tc>
          <w:tcPr>
            <w:tcW w:w="2268" w:type="dxa"/>
          </w:tcPr>
          <w:p>
            <w:r>
              <w:rPr>
                <w:rFonts w:ascii="Times New Roman" w:hAnsi="Times New Roman"/>
                <w:sz w:val="20"/>
              </w:rPr>
              <w:t>CA-CBT (thích ứng văn hoá)</w:t>
            </w:r>
          </w:p>
        </w:tc>
        <w:tc>
          <w:tcPr>
            <w:tcW w:w="2268" w:type="dxa"/>
          </w:tcPr>
          <w:p>
            <w:r>
              <w:rPr>
                <w:rFonts w:ascii="Times New Roman" w:hAnsi="Times New Roman"/>
                <w:sz w:val="20"/>
              </w:rPr>
              <w:t>Praptomojati 2024 SR ĐNA</w:t>
            </w:r>
          </w:p>
        </w:tc>
        <w:tc>
          <w:tcPr>
            <w:tcW w:w="1984" w:type="dxa"/>
          </w:tcPr>
          <w:p>
            <w:r>
              <w:rPr>
                <w:rFonts w:ascii="Times New Roman" w:hAnsi="Times New Roman"/>
                <w:sz w:val="20"/>
              </w:rPr>
              <w:t>CỰC CAO</w:t>
            </w:r>
          </w:p>
        </w:tc>
        <w:tc>
          <w:tcPr>
            <w:tcW w:w="1701" w:type="dxa"/>
          </w:tcPr>
          <w:p>
            <w:r>
              <w:rPr>
                <w:rFonts w:ascii="Times New Roman" w:hAnsi="Times New Roman"/>
                <w:sz w:val="20"/>
              </w:rPr>
              <w:t>Phát triển bản VN</w:t>
            </w:r>
          </w:p>
        </w:tc>
      </w:tr>
      <w:tr>
        <w:tc>
          <w:tcPr>
            <w:tcW w:w="567" w:type="dxa"/>
          </w:tcPr>
          <w:p>
            <w:r>
              <w:rPr>
                <w:rFonts w:ascii="Times New Roman" w:hAnsi="Times New Roman"/>
                <w:sz w:val="20"/>
              </w:rPr>
              <w:t>7</w:t>
            </w:r>
          </w:p>
        </w:tc>
        <w:tc>
          <w:tcPr>
            <w:tcW w:w="2268" w:type="dxa"/>
          </w:tcPr>
          <w:p>
            <w:r>
              <w:rPr>
                <w:rFonts w:ascii="Times New Roman" w:hAnsi="Times New Roman"/>
                <w:sz w:val="20"/>
              </w:rPr>
              <w:t>PE (hoạt động thể chất)</w:t>
            </w:r>
          </w:p>
        </w:tc>
        <w:tc>
          <w:tcPr>
            <w:tcW w:w="2268" w:type="dxa"/>
          </w:tcPr>
          <w:p>
            <w:r>
              <w:rPr>
                <w:rFonts w:ascii="Times New Roman" w:hAnsi="Times New Roman"/>
                <w:sz w:val="20"/>
              </w:rPr>
              <w:t>Li 2025 SUCRA 0,51</w:t>
            </w:r>
          </w:p>
        </w:tc>
        <w:tc>
          <w:tcPr>
            <w:tcW w:w="1984" w:type="dxa"/>
          </w:tcPr>
          <w:p>
            <w:r>
              <w:rPr>
                <w:rFonts w:ascii="Times New Roman" w:hAnsi="Times New Roman"/>
                <w:sz w:val="20"/>
              </w:rPr>
              <w:t>CAO — sẵn có</w:t>
            </w:r>
          </w:p>
        </w:tc>
        <w:tc>
          <w:tcPr>
            <w:tcW w:w="1701" w:type="dxa"/>
          </w:tcPr>
          <w:p>
            <w:r>
              <w:rPr>
                <w:rFonts w:ascii="Times New Roman" w:hAnsi="Times New Roman"/>
                <w:sz w:val="20"/>
              </w:rPr>
              <w:t>Tích hợp giờ thể dục</w:t>
            </w:r>
          </w:p>
        </w:tc>
      </w:tr>
      <w:tr>
        <w:tc>
          <w:tcPr>
            <w:tcW w:w="567" w:type="dxa"/>
          </w:tcPr>
          <w:p>
            <w:r>
              <w:rPr>
                <w:rFonts w:ascii="Times New Roman" w:hAnsi="Times New Roman"/>
                <w:sz w:val="20"/>
              </w:rPr>
              <w:t>8</w:t>
            </w:r>
          </w:p>
        </w:tc>
        <w:tc>
          <w:tcPr>
            <w:tcW w:w="2268" w:type="dxa"/>
          </w:tcPr>
          <w:p>
            <w:r>
              <w:rPr>
                <w:rFonts w:ascii="Times New Roman" w:hAnsi="Times New Roman"/>
                <w:sz w:val="20"/>
              </w:rPr>
              <w:t>Mobile App CBT (Maya-style)</w:t>
            </w:r>
          </w:p>
        </w:tc>
        <w:tc>
          <w:tcPr>
            <w:tcW w:w="2268" w:type="dxa"/>
          </w:tcPr>
          <w:p>
            <w:r>
              <w:rPr>
                <w:rFonts w:ascii="Times New Roman" w:hAnsi="Times New Roman"/>
                <w:sz w:val="20"/>
              </w:rPr>
              <w:t>Bress 2024 d = 1,04</w:t>
            </w:r>
          </w:p>
        </w:tc>
        <w:tc>
          <w:tcPr>
            <w:tcW w:w="1984" w:type="dxa"/>
          </w:tcPr>
          <w:p>
            <w:r>
              <w:rPr>
                <w:rFonts w:ascii="Times New Roman" w:hAnsi="Times New Roman"/>
                <w:sz w:val="20"/>
              </w:rPr>
              <w:t>CAO</w:t>
            </w:r>
          </w:p>
        </w:tc>
        <w:tc>
          <w:tcPr>
            <w:tcW w:w="1701" w:type="dxa"/>
          </w:tcPr>
          <w:p>
            <w:r>
              <w:rPr>
                <w:rFonts w:ascii="Times New Roman" w:hAnsi="Times New Roman"/>
                <w:sz w:val="20"/>
              </w:rPr>
              <w:t>RCT pilot</w:t>
            </w:r>
          </w:p>
        </w:tc>
      </w:tr>
      <w:tr>
        <w:tc>
          <w:tcPr>
            <w:tcW w:w="567" w:type="dxa"/>
          </w:tcPr>
          <w:p>
            <w:r>
              <w:rPr>
                <w:rFonts w:ascii="Times New Roman" w:hAnsi="Times New Roman"/>
                <w:sz w:val="20"/>
              </w:rPr>
              <w:t>9</w:t>
            </w:r>
          </w:p>
        </w:tc>
        <w:tc>
          <w:tcPr>
            <w:tcW w:w="2268" w:type="dxa"/>
          </w:tcPr>
          <w:p>
            <w:r>
              <w:rPr>
                <w:rFonts w:ascii="Times New Roman" w:hAnsi="Times New Roman"/>
                <w:sz w:val="20"/>
              </w:rPr>
              <w:t>Resilience training</w:t>
            </w:r>
          </w:p>
        </w:tc>
        <w:tc>
          <w:tcPr>
            <w:tcW w:w="2268" w:type="dxa"/>
          </w:tcPr>
          <w:p>
            <w:r>
              <w:rPr>
                <w:rFonts w:ascii="Times New Roman" w:hAnsi="Times New Roman"/>
                <w:sz w:val="20"/>
              </w:rPr>
              <w:t>Cao 2025 MA Frontiers</w:t>
            </w:r>
          </w:p>
        </w:tc>
        <w:tc>
          <w:tcPr>
            <w:tcW w:w="1984" w:type="dxa"/>
          </w:tcPr>
          <w:p>
            <w:r>
              <w:rPr>
                <w:rFonts w:ascii="Times New Roman" w:hAnsi="Times New Roman"/>
                <w:sz w:val="20"/>
              </w:rPr>
              <w:t>CAO</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10</w:t>
            </w:r>
          </w:p>
        </w:tc>
        <w:tc>
          <w:tcPr>
            <w:tcW w:w="2268" w:type="dxa"/>
          </w:tcPr>
          <w:p>
            <w:r>
              <w:rPr>
                <w:rFonts w:ascii="Times New Roman" w:hAnsi="Times New Roman"/>
                <w:sz w:val="20"/>
              </w:rPr>
              <w:t>Thư giãn – Luyện tập (Yoga)</w:t>
            </w:r>
          </w:p>
        </w:tc>
        <w:tc>
          <w:tcPr>
            <w:tcW w:w="2268" w:type="dxa"/>
          </w:tcPr>
          <w:p>
            <w:r>
              <w:rPr>
                <w:rFonts w:ascii="Times New Roman" w:hAnsi="Times New Roman"/>
                <w:sz w:val="20"/>
              </w:rPr>
              <w:t>Trần Nguyễn Ngọc 2018</w:t>
            </w:r>
          </w:p>
        </w:tc>
        <w:tc>
          <w:tcPr>
            <w:tcW w:w="1984" w:type="dxa"/>
          </w:tcPr>
          <w:p>
            <w:r>
              <w:rPr>
                <w:rFonts w:ascii="Times New Roman" w:hAnsi="Times New Roman"/>
                <w:sz w:val="20"/>
              </w:rPr>
              <w:t>CAO — đã thử ở VN</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11</w:t>
            </w:r>
          </w:p>
        </w:tc>
        <w:tc>
          <w:tcPr>
            <w:tcW w:w="2268" w:type="dxa"/>
          </w:tcPr>
          <w:p>
            <w:r>
              <w:rPr>
                <w:rFonts w:ascii="Times New Roman" w:hAnsi="Times New Roman"/>
                <w:sz w:val="20"/>
              </w:rPr>
              <w:t>Mobile CBT (trầm cảm)</w:t>
            </w:r>
          </w:p>
        </w:tc>
        <w:tc>
          <w:tcPr>
            <w:tcW w:w="2268" w:type="dxa"/>
          </w:tcPr>
          <w:p>
            <w:r>
              <w:rPr>
                <w:rFonts w:ascii="Times New Roman" w:hAnsi="Times New Roman"/>
                <w:sz w:val="20"/>
              </w:rPr>
              <w:t>Qiaochu 2025 87,5 %</w:t>
            </w:r>
          </w:p>
        </w:tc>
        <w:tc>
          <w:tcPr>
            <w:tcW w:w="1984" w:type="dxa"/>
          </w:tcPr>
          <w:p>
            <w:r>
              <w:rPr>
                <w:rFonts w:ascii="Times New Roman" w:hAnsi="Times New Roman"/>
                <w:sz w:val="20"/>
              </w:rPr>
              <w:t>CAO cho trầm cảm</w:t>
            </w:r>
          </w:p>
        </w:tc>
        <w:tc>
          <w:tcPr>
            <w:tcW w:w="1701" w:type="dxa"/>
          </w:tcPr>
          <w:p>
            <w:r>
              <w:rPr>
                <w:rFonts w:ascii="Times New Roman" w:hAnsi="Times New Roman"/>
                <w:sz w:val="20"/>
              </w:rPr>
              <w:t>Mạnh trầm cảm hơn lo âu</w:t>
            </w:r>
          </w:p>
        </w:tc>
      </w:tr>
      <w:tr>
        <w:tc>
          <w:tcPr>
            <w:tcW w:w="567" w:type="dxa"/>
          </w:tcPr>
          <w:p>
            <w:r>
              <w:rPr>
                <w:rFonts w:ascii="Times New Roman" w:hAnsi="Times New Roman"/>
                <w:sz w:val="20"/>
              </w:rPr>
              <w:t>12</w:t>
            </w:r>
          </w:p>
        </w:tc>
        <w:tc>
          <w:tcPr>
            <w:tcW w:w="2268" w:type="dxa"/>
          </w:tcPr>
          <w:p>
            <w:r>
              <w:rPr>
                <w:rFonts w:ascii="Times New Roman" w:hAnsi="Times New Roman"/>
                <w:sz w:val="20"/>
              </w:rPr>
              <w:t>PLACES self-referral</w:t>
            </w:r>
          </w:p>
        </w:tc>
        <w:tc>
          <w:tcPr>
            <w:tcW w:w="2268" w:type="dxa"/>
          </w:tcPr>
          <w:p>
            <w:r>
              <w:rPr>
                <w:rFonts w:ascii="Times New Roman" w:hAnsi="Times New Roman"/>
                <w:sz w:val="20"/>
              </w:rPr>
              <w:t>Brown &amp; Carter 2025 BESST</w:t>
            </w:r>
          </w:p>
        </w:tc>
        <w:tc>
          <w:tcPr>
            <w:tcW w:w="1984" w:type="dxa"/>
          </w:tcPr>
          <w:p>
            <w:r>
              <w:rPr>
                <w:rFonts w:ascii="Times New Roman" w:hAnsi="Times New Roman"/>
                <w:sz w:val="20"/>
              </w:rPr>
              <w:t>TB — cần adapt</w:t>
            </w:r>
          </w:p>
        </w:tc>
        <w:tc>
          <w:tcPr>
            <w:tcW w:w="1701" w:type="dxa"/>
          </w:tcPr>
          <w:p>
            <w:r>
              <w:rPr>
                <w:rFonts w:ascii="Times New Roman" w:hAnsi="Times New Roman"/>
                <w:sz w:val="20"/>
              </w:rPr>
              <w:t>Pilot thử nghiệm</w:t>
            </w:r>
          </w:p>
        </w:tc>
      </w:tr>
      <w:tr>
        <w:tc>
          <w:tcPr>
            <w:tcW w:w="567" w:type="dxa"/>
          </w:tcPr>
          <w:p>
            <w:r>
              <w:rPr>
                <w:rFonts w:ascii="Times New Roman" w:hAnsi="Times New Roman"/>
                <w:sz w:val="20"/>
              </w:rPr>
              <w:t>13</w:t>
            </w:r>
          </w:p>
        </w:tc>
        <w:tc>
          <w:tcPr>
            <w:tcW w:w="2268" w:type="dxa"/>
          </w:tcPr>
          <w:p>
            <w:r>
              <w:rPr>
                <w:rFonts w:ascii="Times New Roman" w:hAnsi="Times New Roman"/>
                <w:sz w:val="20"/>
              </w:rPr>
              <w:t>Mindfulness phổ quát</w:t>
            </w:r>
          </w:p>
        </w:tc>
        <w:tc>
          <w:tcPr>
            <w:tcW w:w="2268" w:type="dxa"/>
          </w:tcPr>
          <w:p>
            <w:r>
              <w:rPr>
                <w:rFonts w:ascii="Times New Roman" w:hAnsi="Times New Roman"/>
                <w:sz w:val="20"/>
              </w:rPr>
              <w:t>Brown 2025: thất bại 8.376 HS</w:t>
            </w:r>
          </w:p>
        </w:tc>
        <w:tc>
          <w:tcPr>
            <w:tcW w:w="1984" w:type="dxa"/>
          </w:tcPr>
          <w:p>
            <w:r>
              <w:rPr>
                <w:rFonts w:ascii="Times New Roman" w:hAnsi="Times New Roman"/>
                <w:sz w:val="20"/>
              </w:rPr>
              <w:t>KHÔNG nên</w:t>
            </w:r>
          </w:p>
        </w:tc>
        <w:tc>
          <w:tcPr>
            <w:tcW w:w="1701" w:type="dxa"/>
          </w:tcPr>
          <w:p>
            <w:r>
              <w:rPr>
                <w:rFonts w:ascii="Times New Roman" w:hAnsi="Times New Roman"/>
                <w:sz w:val="20"/>
              </w:rPr>
              <w:t>TRÁNH triển khai universal</w:t>
            </w:r>
          </w:p>
        </w:tc>
      </w:tr>
    </w:tbl>
    <w:p>
      <w:r>
        <w:rPr>
          <w:rFonts w:ascii="Times New Roman" w:hAnsi="Times New Roman"/>
          <w:b w:val="0"/>
          <w:i/>
          <w:sz w:val="20"/>
        </w:rPr>
        <w:t>Bảng 12. Xếp hạng 13 phương pháp can thiệp tâm lý cho RLLA ở VTN. Tổng hợp từ 15 bài nghiên cứu trong báo cáo này.</w:t>
      </w:r>
    </w:p>
    <w:p>
      <w:pPr>
        <w:pStyle w:val="Heading2"/>
      </w:pPr>
      <w:r>
        <w:rPr>
          <w:rFonts w:ascii="Times New Roman" w:hAnsi="Times New Roman"/>
          <w:color w:val="000000"/>
        </w:rPr>
        <w:t>4.3. Năm khoảng trống nghiên cứu can thiệp tại Việt Nam</w:t>
      </w:r>
    </w:p>
    <w:p>
      <w:pPr>
        <w:jc w:val="both"/>
      </w:pPr>
      <w:r>
        <w:rPr>
          <w:rFonts w:ascii="Times New Roman" w:hAnsi="Times New Roman"/>
          <w:b/>
          <w:i w:val="0"/>
          <w:sz w:val="24"/>
        </w:rPr>
        <w:t>Sau khi tổng hợp 15 bài, có thể xác định 5 khoảng trống lớn nhất cho lĩnh vực can thiệp RLLA ở VTN tại Việt Nam:</w:t>
      </w:r>
    </w:p>
    <w:p>
      <w:pPr>
        <w:jc w:val="both"/>
      </w:pPr>
      <w:r>
        <w:rPr>
          <w:rFonts w:ascii="Times New Roman" w:hAnsi="Times New Roman"/>
          <w:b w:val="0"/>
          <w:i w:val="0"/>
          <w:sz w:val="24"/>
        </w:rPr>
        <w:t>1. THIẾU TUYỆT ĐỐI: 0 RCT can thiệp tâm lý cho VTN có RLLA tại Việt Nam trong hệ thống 58 bài. Trần Nguyễn Ngọc 2018 là người lớn nội trú.</w:t>
      </w:r>
    </w:p>
    <w:p>
      <w:pPr>
        <w:jc w:val="both"/>
      </w:pPr>
      <w:r>
        <w:rPr>
          <w:rFonts w:ascii="Times New Roman" w:hAnsi="Times New Roman"/>
          <w:b w:val="0"/>
          <w:i w:val="0"/>
          <w:sz w:val="24"/>
        </w:rPr>
        <w:t>2. Phát triển app iCBT / Mobile CBT TIẾNG VIỆT — phù hợp xếp hạng số 3, 4, 8 (Xian 2024, Walder 2025, Bress 2024).</w:t>
      </w:r>
    </w:p>
    <w:p>
      <w:pPr>
        <w:jc w:val="both"/>
      </w:pPr>
      <w:r>
        <w:rPr>
          <w:rFonts w:ascii="Times New Roman" w:hAnsi="Times New Roman"/>
          <w:b w:val="0"/>
          <w:i w:val="0"/>
          <w:sz w:val="24"/>
        </w:rPr>
        <w:t>3. Đào tạo GIÁO VIÊN cung cấp CBT tại trường — mô hình De Silva 2024 (Sri Lanka) khả thi cho LMIC.</w:t>
      </w:r>
    </w:p>
    <w:p>
      <w:pPr>
        <w:jc w:val="both"/>
      </w:pPr>
      <w:r>
        <w:rPr>
          <w:rFonts w:ascii="Times New Roman" w:hAnsi="Times New Roman"/>
          <w:b w:val="0"/>
          <w:i w:val="0"/>
          <w:sz w:val="24"/>
        </w:rPr>
        <w:t>4. CA-CBT (CBT thích ứng văn hoá Á Đông) phiên bản VN — yếu tố Phật giáo, gia đình mở rộng, "fear of letting down" (Dong, Wang &amp; Lin 2025).</w:t>
      </w:r>
    </w:p>
    <w:p>
      <w:pPr>
        <w:jc w:val="both"/>
      </w:pPr>
      <w:r>
        <w:rPr>
          <w:rFonts w:ascii="Times New Roman" w:hAnsi="Times New Roman"/>
          <w:b w:val="0"/>
          <w:i w:val="0"/>
          <w:sz w:val="24"/>
        </w:rPr>
        <w:t>5. Can thiệp ĐA CẤP: cá nhân + GIA ĐÌNH + cộng đồng — lấp khoảng trống Menon 2025 và phát hiện kênh giao tiếp gia đình của Dong, Wang &amp; Lin 2025 (OR = 0,22; tr. 7).</w:t>
      </w:r>
    </w:p>
    <w:p>
      <w:pPr>
        <w:pStyle w:val="Heading2"/>
      </w:pPr>
      <w:r>
        <w:rPr>
          <w:rFonts w:ascii="Times New Roman" w:hAnsi="Times New Roman"/>
          <w:color w:val="000000"/>
        </w:rPr>
        <w:t>4.4. Đề xuất thiết kế can thiệp cho đề cương Việt Nam (giai đoạn 2)</w:t>
      </w:r>
    </w:p>
    <w:p>
      <w:pPr>
        <w:jc w:val="both"/>
      </w:pPr>
      <w:r>
        <w:rPr>
          <w:rFonts w:ascii="Times New Roman" w:hAnsi="Times New Roman"/>
          <w:b/>
          <w:i w:val="0"/>
          <w:sz w:val="24"/>
        </w:rPr>
        <w:t>Dựa trên tổng hợp 15 bài và 5 khoảng trống trên, đề xuất can thiệp PHỐI HỢP 12 tuần TARGETED cho học sinh THCS / THPT có triệu chứng lo âu (sàng lọc bằng GAD-7 ≥ 8 hoặc DASS-Y lo âu ≥ 8):</w:t>
      </w:r>
    </w:p>
    <w:tbl>
      <w:tblPr>
        <w:tblStyle w:val="TableGrid"/>
        <w:tblW w:type="auto" w:w="0"/>
        <w:jc w:val="center"/>
        <w:tblLook w:firstColumn="1" w:firstRow="1" w:lastColumn="0" w:lastRow="0" w:noHBand="0" w:noVBand="1" w:val="04A0"/>
        <w:tblLayout w:type="fixed"/>
      </w:tblPr>
      <w:tblGrid>
        <w:gridCol w:w="1984"/>
        <w:gridCol w:w="1417"/>
        <w:gridCol w:w="2835"/>
        <w:gridCol w:w="2551"/>
      </w:tblGrid>
      <w:tr>
        <w:tc>
          <w:tcPr>
            <w:tcW w:w="1984" w:type="dxa"/>
            <w:shd w:fill="D9E2F3" w:val="clear"/>
          </w:tcPr>
          <w:p>
            <w:pPr>
              <w:jc w:val="center"/>
            </w:pPr>
            <w:r>
              <w:rPr>
                <w:rFonts w:ascii="Times New Roman" w:hAnsi="Times New Roman"/>
                <w:b/>
                <w:sz w:val="20"/>
              </w:rPr>
              <w:t>Thành phần</w:t>
            </w:r>
          </w:p>
        </w:tc>
        <w:tc>
          <w:tcPr>
            <w:tcW w:w="1417" w:type="dxa"/>
            <w:shd w:fill="D9E2F3" w:val="clear"/>
          </w:tcPr>
          <w:p>
            <w:pPr>
              <w:jc w:val="center"/>
            </w:pPr>
            <w:r>
              <w:rPr>
                <w:rFonts w:ascii="Times New Roman" w:hAnsi="Times New Roman"/>
                <w:b/>
                <w:sz w:val="20"/>
              </w:rPr>
              <w:t>Số buổi</w:t>
            </w:r>
          </w:p>
        </w:tc>
        <w:tc>
          <w:tcPr>
            <w:tcW w:w="2835" w:type="dxa"/>
            <w:shd w:fill="D9E2F3" w:val="clear"/>
          </w:tcPr>
          <w:p>
            <w:pPr>
              <w:jc w:val="center"/>
            </w:pPr>
            <w:r>
              <w:rPr>
                <w:rFonts w:ascii="Times New Roman" w:hAnsi="Times New Roman"/>
                <w:b/>
                <w:sz w:val="20"/>
              </w:rPr>
              <w:t>Cơ sở bằng chứng</w:t>
            </w:r>
          </w:p>
        </w:tc>
        <w:tc>
          <w:tcPr>
            <w:tcW w:w="2551" w:type="dxa"/>
            <w:shd w:fill="D9E2F3" w:val="clear"/>
          </w:tcPr>
          <w:p>
            <w:pPr>
              <w:jc w:val="center"/>
            </w:pPr>
            <w:r>
              <w:rPr>
                <w:rFonts w:ascii="Times New Roman" w:hAnsi="Times New Roman"/>
                <w:b/>
                <w:sz w:val="20"/>
              </w:rPr>
              <w:t>Áp dụng VN</w:t>
            </w:r>
          </w:p>
        </w:tc>
      </w:tr>
      <w:tr>
        <w:tc>
          <w:tcPr>
            <w:tcW w:w="1984" w:type="dxa"/>
          </w:tcPr>
          <w:p>
            <w:r>
              <w:rPr>
                <w:rFonts w:ascii="Times New Roman" w:hAnsi="Times New Roman"/>
                <w:sz w:val="20"/>
              </w:rPr>
              <w:t>1. CBT NHÓM TARGETED</w:t>
            </w:r>
          </w:p>
        </w:tc>
        <w:tc>
          <w:tcPr>
            <w:tcW w:w="1417" w:type="dxa"/>
          </w:tcPr>
          <w:p>
            <w:r>
              <w:rPr>
                <w:rFonts w:ascii="Times New Roman" w:hAnsi="Times New Roman"/>
                <w:sz w:val="20"/>
              </w:rPr>
              <w:t>8 buổi × 60 phút</w:t>
            </w:r>
          </w:p>
        </w:tc>
        <w:tc>
          <w:tcPr>
            <w:tcW w:w="2835" w:type="dxa"/>
          </w:tcPr>
          <w:p>
            <w:r>
              <w:rPr>
                <w:rFonts w:ascii="Times New Roman" w:hAnsi="Times New Roman"/>
                <w:sz w:val="20"/>
              </w:rPr>
              <w:t>CAMS Walkup 2008 NEJM; Li 2025 SUCRA 0,66; De Silva 2024 RCT</w:t>
            </w:r>
          </w:p>
        </w:tc>
        <w:tc>
          <w:tcPr>
            <w:tcW w:w="2551" w:type="dxa"/>
          </w:tcPr>
          <w:p>
            <w:r>
              <w:rPr>
                <w:rFonts w:ascii="Times New Roman" w:hAnsi="Times New Roman"/>
                <w:sz w:val="20"/>
              </w:rPr>
              <w:t>Cốt lõi can thiệp; do GV/cố vấn tâm lý đã đào tạo cung cấp</w:t>
            </w:r>
          </w:p>
        </w:tc>
      </w:tr>
      <w:tr>
        <w:tc>
          <w:tcPr>
            <w:tcW w:w="1984" w:type="dxa"/>
          </w:tcPr>
          <w:p>
            <w:r>
              <w:rPr>
                <w:rFonts w:ascii="Times New Roman" w:hAnsi="Times New Roman"/>
                <w:sz w:val="20"/>
              </w:rPr>
              <w:t>2. Module GIAO TIẾP GIA ĐÌNH</w:t>
            </w:r>
          </w:p>
        </w:tc>
        <w:tc>
          <w:tcPr>
            <w:tcW w:w="1417" w:type="dxa"/>
          </w:tcPr>
          <w:p>
            <w:r>
              <w:rPr>
                <w:rFonts w:ascii="Times New Roman" w:hAnsi="Times New Roman"/>
                <w:sz w:val="20"/>
              </w:rPr>
              <w:t>4 buổi (cha mẹ + HS)</w:t>
            </w:r>
          </w:p>
        </w:tc>
        <w:tc>
          <w:tcPr>
            <w:tcW w:w="2835" w:type="dxa"/>
          </w:tcPr>
          <w:p>
            <w:r>
              <w:rPr>
                <w:rFonts w:ascii="Times New Roman" w:hAnsi="Times New Roman"/>
                <w:sz w:val="20"/>
              </w:rPr>
              <w:t>Dong, Wang &amp; Lin 2025 OR = 0,22 (mới); Menon 2025 gap gia đình</w:t>
            </w:r>
          </w:p>
        </w:tc>
        <w:tc>
          <w:tcPr>
            <w:tcW w:w="2551" w:type="dxa"/>
          </w:tcPr>
          <w:p>
            <w:r>
              <w:rPr>
                <w:rFonts w:ascii="Times New Roman" w:hAnsi="Times New Roman"/>
                <w:sz w:val="20"/>
              </w:rPr>
              <w:t>Tập huấn kỹ năng tâm sự; lắng nghe; không phán xét</w:t>
            </w:r>
          </w:p>
        </w:tc>
      </w:tr>
      <w:tr>
        <w:tc>
          <w:tcPr>
            <w:tcW w:w="1984" w:type="dxa"/>
          </w:tcPr>
          <w:p>
            <w:r>
              <w:rPr>
                <w:rFonts w:ascii="Times New Roman" w:hAnsi="Times New Roman"/>
                <w:sz w:val="20"/>
              </w:rPr>
              <w:t>3. Module RESILIENCE</w:t>
            </w:r>
          </w:p>
        </w:tc>
        <w:tc>
          <w:tcPr>
            <w:tcW w:w="1417" w:type="dxa"/>
          </w:tcPr>
          <w:p>
            <w:r>
              <w:rPr>
                <w:rFonts w:ascii="Times New Roman" w:hAnsi="Times New Roman"/>
                <w:sz w:val="20"/>
              </w:rPr>
              <w:t>3 buổi</w:t>
            </w:r>
          </w:p>
        </w:tc>
        <w:tc>
          <w:tcPr>
            <w:tcW w:w="2835" w:type="dxa"/>
          </w:tcPr>
          <w:p>
            <w:r>
              <w:rPr>
                <w:rFonts w:ascii="Times New Roman" w:hAnsi="Times New Roman"/>
                <w:sz w:val="20"/>
              </w:rPr>
              <w:t>Cao 2025 Frontiers MA; Trần Thảo Vi 2025 (lạc quan)</w:t>
            </w:r>
          </w:p>
        </w:tc>
        <w:tc>
          <w:tcPr>
            <w:tcW w:w="2551" w:type="dxa"/>
          </w:tcPr>
          <w:p>
            <w:r>
              <w:rPr>
                <w:rFonts w:ascii="Times New Roman" w:hAnsi="Times New Roman"/>
                <w:sz w:val="20"/>
              </w:rPr>
              <w:t>Lạc quan, kết nối XH, tự nhận thức</w:t>
            </w:r>
          </w:p>
        </w:tc>
      </w:tr>
      <w:tr>
        <w:tc>
          <w:tcPr>
            <w:tcW w:w="1984" w:type="dxa"/>
          </w:tcPr>
          <w:p>
            <w:r>
              <w:rPr>
                <w:rFonts w:ascii="Times New Roman" w:hAnsi="Times New Roman"/>
                <w:sz w:val="20"/>
              </w:rPr>
              <w:t>4. PE + Thư giãn – Thở</w:t>
            </w:r>
          </w:p>
        </w:tc>
        <w:tc>
          <w:tcPr>
            <w:tcW w:w="1417" w:type="dxa"/>
          </w:tcPr>
          <w:p>
            <w:r>
              <w:rPr>
                <w:rFonts w:ascii="Times New Roman" w:hAnsi="Times New Roman"/>
                <w:sz w:val="20"/>
              </w:rPr>
              <w:t>8 buổi (giờ thể dục)</w:t>
            </w:r>
          </w:p>
        </w:tc>
        <w:tc>
          <w:tcPr>
            <w:tcW w:w="2835" w:type="dxa"/>
          </w:tcPr>
          <w:p>
            <w:r>
              <w:rPr>
                <w:rFonts w:ascii="Times New Roman" w:hAnsi="Times New Roman"/>
                <w:sz w:val="20"/>
              </w:rPr>
              <w:t>Li 2025 PE SUCRA 0,51; Trần Nguyễn Ngọc 2018</w:t>
            </w:r>
          </w:p>
        </w:tc>
        <w:tc>
          <w:tcPr>
            <w:tcW w:w="2551" w:type="dxa"/>
          </w:tcPr>
          <w:p>
            <w:r>
              <w:rPr>
                <w:rFonts w:ascii="Times New Roman" w:hAnsi="Times New Roman"/>
                <w:sz w:val="20"/>
              </w:rPr>
              <w:t>Tích hợp giờ thể dục; Yoga đã thử nghiệm ở VN</w:t>
            </w:r>
          </w:p>
        </w:tc>
      </w:tr>
      <w:tr>
        <w:tc>
          <w:tcPr>
            <w:tcW w:w="1984" w:type="dxa"/>
          </w:tcPr>
          <w:p>
            <w:r>
              <w:rPr>
                <w:rFonts w:ascii="Times New Roman" w:hAnsi="Times New Roman"/>
                <w:sz w:val="20"/>
              </w:rPr>
              <w:t>5. App iCBT TIẾNG VIỆT</w:t>
            </w:r>
          </w:p>
        </w:tc>
        <w:tc>
          <w:tcPr>
            <w:tcW w:w="1417" w:type="dxa"/>
          </w:tcPr>
          <w:p>
            <w:r>
              <w:rPr>
                <w:rFonts w:ascii="Times New Roman" w:hAnsi="Times New Roman"/>
                <w:sz w:val="20"/>
              </w:rPr>
              <w:t>Suốt 12 tuần</w:t>
            </w:r>
          </w:p>
        </w:tc>
        <w:tc>
          <w:tcPr>
            <w:tcW w:w="2835" w:type="dxa"/>
          </w:tcPr>
          <w:p>
            <w:r>
              <w:rPr>
                <w:rFonts w:ascii="Times New Roman" w:hAnsi="Times New Roman"/>
                <w:sz w:val="20"/>
              </w:rPr>
              <w:t>Walder 2025 g = 0,878 (SAD-specific + guided); Sasaki 2024</w:t>
            </w:r>
          </w:p>
        </w:tc>
        <w:tc>
          <w:tcPr>
            <w:tcW w:w="2551" w:type="dxa"/>
          </w:tcPr>
          <w:p>
            <w:r>
              <w:rPr>
                <w:rFonts w:ascii="Times New Roman" w:hAnsi="Times New Roman"/>
                <w:sz w:val="20"/>
              </w:rPr>
              <w:t>Bắt buộc có hỗ trợ người (chat); thiết kế cho lo âu</w:t>
            </w:r>
          </w:p>
        </w:tc>
      </w:tr>
    </w:tbl>
    <w:p>
      <w:r>
        <w:rPr>
          <w:rFonts w:ascii="Times New Roman" w:hAnsi="Times New Roman"/>
          <w:b w:val="0"/>
          <w:i/>
          <w:sz w:val="20"/>
        </w:rPr>
        <w:t>Bảng 13. Đề xuất can thiệp 5 thành phần cho đề cương VN giai đoạn 2.</w:t>
      </w:r>
    </w:p>
    <w:p>
      <w:pPr>
        <w:jc w:val="both"/>
      </w:pPr>
      <w:r>
        <w:rPr>
          <w:rFonts w:ascii="Times New Roman" w:hAnsi="Times New Roman"/>
          <w:b/>
          <w:i w:val="0"/>
          <w:sz w:val="24"/>
        </w:rPr>
        <w:t>Cơ chế tiếp cận: PLACES self-referral (Brown &amp; Carter 2025) — học sinh tự đăng ký dùng từ thường ngày ("căng thẳng", "lo lắng"), kết hợp sàng lọc chủ động để tăng tiếp cận.</w:t>
      </w:r>
    </w:p>
    <w:p>
      <w:pPr>
        <w:pStyle w:val="Heading2"/>
      </w:pPr>
      <w:r>
        <w:rPr>
          <w:rFonts w:ascii="Times New Roman" w:hAnsi="Times New Roman"/>
          <w:color w:val="000000"/>
        </w:rPr>
        <w:t>4.5. Kết luận</w:t>
      </w:r>
    </w:p>
    <w:p>
      <w:pPr>
        <w:jc w:val="both"/>
      </w:pPr>
      <w:r>
        <w:rPr>
          <w:rFonts w:ascii="Times New Roman" w:hAnsi="Times New Roman"/>
          <w:b/>
          <w:i/>
          <w:sz w:val="24"/>
        </w:rPr>
        <w:t>Việt Nam đang có khoảng trống RẤT LỚN về nghiên cứu can thiệp tâm lý cho VTN có RLLA — 0 RCT trong hệ thống 58 bài. Trần Nguyễn Ngọc 2018 là cơ sở duy nhất từ Việt Nam nhưng đối tượng người lớn nội trú. Bằng chứng quốc tế (đặc biệt từ Châu Á) cho thấy CBT (cá nhân, nhóm, internet) là phương pháp hiệu quả nhất; mô hình Sri Lanka (GV cung cấp) khả thi cho LMIC; iCBT phù hợp VTN số hoá; PHẢI tránh universal interventions phổ quát; cần tích hợp can thiệp GIA ĐÌNH (phát hiện mới Dong, Wang &amp; Lin 2025). Đề cương Việt Nam nên thiết kế can thiệp TARGETED 12 tuần đa thành phần — đây sẽ là RCT đầu tiên loại này tại Việt Nam.</w:t>
      </w:r>
    </w:p>
    <w:p>
      <w:r>
        <w:br w:type="page"/>
      </w:r>
    </w:p>
    <w:p>
      <w:pPr>
        <w:pStyle w:val="Heading1"/>
      </w:pPr>
      <w:r>
        <w:rPr>
          <w:rFonts w:ascii="Times New Roman" w:hAnsi="Times New Roman"/>
          <w:color w:val="000000"/>
        </w:rPr>
        <w:t>TÀI LIỆU THAM KHẢO</w:t>
      </w:r>
    </w:p>
    <w:p>
      <w:pPr>
        <w:jc w:val="both"/>
      </w:pPr>
      <w:r>
        <w:rPr>
          <w:rFonts w:ascii="Times New Roman" w:hAnsi="Times New Roman"/>
          <w:b w:val="0"/>
          <w:i w:val="0"/>
          <w:sz w:val="24"/>
        </w:rPr>
        <w:t>Bài 28 — Zugman, A., Jett, J. E., Antonacci, C., Winkler, A. M., &amp; Pine, D. S. (2024). Current and future approaches to pediatric anxiety disorder treatment. American Journal of Psychiatry, 181(3), 189–200. DOI 10.1176/appi.ajp.20231037</w:t>
      </w:r>
    </w:p>
    <w:p>
      <w:pPr>
        <w:jc w:val="both"/>
      </w:pPr>
      <w:r>
        <w:rPr>
          <w:rFonts w:ascii="Times New Roman" w:hAnsi="Times New Roman"/>
          <w:b w:val="0"/>
          <w:i w:val="0"/>
          <w:sz w:val="24"/>
        </w:rPr>
        <w:t>Bài 29 — Li, L., Li, Q., Wang, J., Fu, Q., Cui, M., Wang, Y., et al. (2025). Effects of different interventions on anxiety disorders in children and adolescents: A systematic review and Bayesian network meta-analysis. BMC Psychiatry, 25, 809. DOI 10.1186/s12888-025-07227-y. PROSPERO CRD42024587910.</w:t>
      </w:r>
    </w:p>
    <w:p>
      <w:pPr>
        <w:jc w:val="both"/>
      </w:pPr>
      <w:r>
        <w:rPr>
          <w:rFonts w:ascii="Times New Roman" w:hAnsi="Times New Roman"/>
          <w:b w:val="0"/>
          <w:i w:val="0"/>
          <w:sz w:val="24"/>
        </w:rPr>
        <w:t>Bài 41 — Praptomojati, A., &amp; Hartanto, A. (2024). A systematic review of culturally adapted cognitive behavioral therapy (CA-CBT) for anxiety disorders in Southeast Asia. Asian Journal of Psychiatry, 92, 103896. DOI 10.1016/j.ajp.2023.103896</w:t>
      </w:r>
    </w:p>
    <w:p>
      <w:pPr>
        <w:jc w:val="both"/>
      </w:pPr>
      <w:r>
        <w:rPr>
          <w:rFonts w:ascii="Times New Roman" w:hAnsi="Times New Roman"/>
          <w:b w:val="0"/>
          <w:i w:val="0"/>
          <w:sz w:val="24"/>
        </w:rPr>
        <w:t>Bài 42 — De Silva, S., Bowers, A., Wijesinghe, M., Gamage, A., &amp; Hapangama, A. (2024). Effectiveness of a cognitive behavioural therapy (CBT)-based intervention for reducing anxiety among adolescents in the Colombo District, Sri Lanka: A cluster randomised controlled trial. Child and Adolescent Psychiatry and Mental Health, 18, 108. DOI 10.1186/s13034-024-00799-9</w:t>
      </w:r>
    </w:p>
    <w:p>
      <w:pPr>
        <w:jc w:val="both"/>
      </w:pPr>
      <w:r>
        <w:rPr>
          <w:rFonts w:ascii="Times New Roman" w:hAnsi="Times New Roman"/>
          <w:b w:val="0"/>
          <w:i w:val="0"/>
          <w:sz w:val="24"/>
        </w:rPr>
        <w:t>Bài 43 — Xian, J., Zhang, Y., &amp; Jiang, B. (2024). Psychological interventions for social anxiety disorder in children and adolescents: A systematic review and network meta-analysis. Journal of Affective Disorders, 365, 614–627. DOI 10.1016/j.jad.2024.08.097. PROSPERO CRD42023476829.</w:t>
      </w:r>
    </w:p>
    <w:p>
      <w:pPr>
        <w:jc w:val="both"/>
      </w:pPr>
      <w:r>
        <w:rPr>
          <w:rFonts w:ascii="Times New Roman" w:hAnsi="Times New Roman"/>
          <w:b w:val="0"/>
          <w:i w:val="0"/>
          <w:sz w:val="24"/>
        </w:rPr>
        <w:t>Bài 44 — Walder, N., Frey, A., Berger, T., et al. (2025). Digital mental health interventions for prevention and treatment of social anxiety disorder in children, adolescents and young adults: Systematic review and meta-analysis. Journal of Medical Internet Research, e67067. DOI 10.2196/preprints.67067. PROSPERO CRD42023424181.</w:t>
      </w:r>
    </w:p>
    <w:p>
      <w:pPr>
        <w:jc w:val="both"/>
      </w:pPr>
      <w:r>
        <w:rPr>
          <w:rFonts w:ascii="Times New Roman" w:hAnsi="Times New Roman"/>
          <w:b w:val="0"/>
          <w:i w:val="0"/>
          <w:sz w:val="24"/>
        </w:rPr>
        <w:t>Bài 48 — Brown, J. S. L., &amp; Carter, B. (2025). School-based interventions for depression and anxiety in UK [Editorial]. Journal of Mental Health, 34(4), 357–361. DOI 10.1080/09638237.2025.2512332</w:t>
      </w:r>
    </w:p>
    <w:p>
      <w:pPr>
        <w:jc w:val="both"/>
      </w:pPr>
      <w:r>
        <w:rPr>
          <w:rFonts w:ascii="Times New Roman" w:hAnsi="Times New Roman"/>
          <w:b w:val="0"/>
          <w:i w:val="0"/>
          <w:sz w:val="24"/>
        </w:rPr>
        <w:t>Bài 49 — Bress, J. N., Falk, A., Schier, M. M., et al. (2024). Efficacy of a mobile app-based intervention for young adults with anxiety disorders: A randomized clinical trial. JAMA Network Open, 7(8), e2428372. DOI 10.1001/jamanetworkopen.2024.28372. ClinicalTrials.gov NCT05130281.</w:t>
      </w:r>
    </w:p>
    <w:p>
      <w:pPr>
        <w:jc w:val="both"/>
      </w:pPr>
      <w:r>
        <w:rPr>
          <w:rFonts w:ascii="Times New Roman" w:hAnsi="Times New Roman"/>
          <w:b w:val="0"/>
          <w:i w:val="0"/>
          <w:sz w:val="24"/>
        </w:rPr>
        <w:t>Bài 50 — Cao, C., et al. (2025). School-based interventions for resilience in children and adolescents: A systematic review and meta-analysis of randomized controlled trials. Frontiers in Psychiatry, 16, 1594658. DOI 10.3389/fpsyt.2025.1594658</w:t>
      </w:r>
    </w:p>
    <w:p>
      <w:pPr>
        <w:jc w:val="both"/>
      </w:pPr>
      <w:r>
        <w:rPr>
          <w:rFonts w:ascii="Times New Roman" w:hAnsi="Times New Roman"/>
          <w:b w:val="0"/>
          <w:i w:val="0"/>
          <w:sz w:val="24"/>
        </w:rPr>
        <w:t>Bài 51 — Sasaki, N., et al. (2024). Effectiveness of unguided internet-based cognitive behavioral therapy for subthreshold social anxiety disorder in adolescents and young adults: Multicenter randomized controlled trial. JMIR Pediatrics and Parenting, 7, e55786. DOI 10.2196/55786. UMIN000049768.</w:t>
      </w:r>
    </w:p>
    <w:p>
      <w:pPr>
        <w:jc w:val="both"/>
      </w:pPr>
      <w:r>
        <w:rPr>
          <w:rFonts w:ascii="Times New Roman" w:hAnsi="Times New Roman"/>
          <w:b w:val="0"/>
          <w:i w:val="0"/>
          <w:sz w:val="24"/>
        </w:rPr>
        <w:t>Bài 56* — Zhang, X., Liang, Z., &amp; Kang, J. (2026). Long-term effects of school-based CBT in low-risk children and adolescents: A Bayesian meta-analysis. Journal of Clinical Psychology, 82, 248–259. DOI 10.1002/jclp.70069 [abstract-only].</w:t>
      </w:r>
    </w:p>
    <w:p>
      <w:pPr>
        <w:jc w:val="both"/>
      </w:pPr>
      <w:r>
        <w:rPr>
          <w:rFonts w:ascii="Times New Roman" w:hAnsi="Times New Roman"/>
          <w:b w:val="0"/>
          <w:i w:val="0"/>
          <w:sz w:val="24"/>
        </w:rPr>
        <w:t>Bài 57* — Qiaochu, Z., &amp; Wang, Y. (2025). Effectiveness of mobile-based cognitive behavioural therapy for depression and anxiety in children and young people: A systematic review of randomized controlled trials. Clinical Psychology and Psychotherapy, 32(6), e70173. DOI 10.1002/cpp.70173 [abstract-only].</w:t>
      </w:r>
    </w:p>
    <w:p>
      <w:pPr>
        <w:jc w:val="both"/>
      </w:pPr>
      <w:r>
        <w:rPr>
          <w:rFonts w:ascii="Times New Roman" w:hAnsi="Times New Roman"/>
          <w:b w:val="0"/>
          <w:i w:val="0"/>
          <w:sz w:val="24"/>
        </w:rPr>
        <w:t>Bài 58* — Menon, V., Coppard, M., McEwen, S., Romero, L., Kennedy, E., &amp; Azzopardi, P. (2025). Evaluated interventions targeting the mental health and psychosocial wellbeing of children and adolescents: A scoping review focused on low- and middle-income countries in East Asia and the Pacific. Asia Pacific Journal of Public Health, 37(4), 332–346. DOI 10.1177/10105395241313154 [abstract-only].</w:t>
      </w:r>
    </w:p>
    <w:p>
      <w:pPr>
        <w:jc w:val="both"/>
      </w:pPr>
      <w:r>
        <w:rPr>
          <w:rFonts w:ascii="Times New Roman" w:hAnsi="Times New Roman"/>
          <w:b w:val="0"/>
          <w:i w:val="0"/>
          <w:sz w:val="24"/>
        </w:rPr>
        <w:t>Trần Nguyễn Ngọc (2018). Đánh giá hiệu quả điều trị rối loạn lo âu tổng quát bằng liệu pháp thư giãn – luyện tập [Luận án Tiến sĩ Y học, mã số 62720148]. Trường Đại học Y Hà Nội — Viện Sức khoẻ Tâm thần, Bệnh viện Bạch Mai. Người hướng dẫn: PGS. TS. Nguyễn Kim Việt. 177 trang.</w:t>
      </w:r>
    </w:p>
    <w:p>
      <w:pPr>
        <w:jc w:val="both"/>
      </w:pPr>
      <w:r>
        <w:rPr>
          <w:rFonts w:ascii="Times New Roman" w:hAnsi="Times New Roman"/>
          <w:b w:val="0"/>
          <w:i w:val="0"/>
          <w:sz w:val="24"/>
        </w:rPr>
        <w:t>Walkup, J. T., Albano, A. M., Piacentini, J., Birmaher, B., Compton, S. N., Sherrill, J. T., et al. (2008). Cognitive behavioral therapy, sertraline, or a combination in childhood anxiety. New England Journal of Medicine, 359(26), 2753–2766. DOI 10.1056/NEJMoa0804633. [Trích dẫn trong Zugman et al. 2024, AJP 181(3), tr. 191].</w:t>
      </w:r>
    </w:p>
    <w:p>
      <w:pPr>
        <w:jc w:val="both"/>
      </w:pPr>
      <w:r>
        <w:rPr>
          <w:rFonts w:ascii="Times New Roman" w:hAnsi="Times New Roman"/>
          <w:b w:val="0"/>
          <w:i w:val="0"/>
          <w:sz w:val="24"/>
        </w:rPr>
        <w:t>Bài 54 (đối chiếu) — Dong, T., Wang, Y., &amp; Lin, Y. (2025). Prevalence and determinants of depression, anxiety, and stress among secondary school students. PLOS ONE, 20(9), e0328785. DOI 10.1371/journal.pone.0328785</w:t>
      </w:r>
    </w:p>
    <w:p>
      <w:pPr>
        <w:jc w:val="both"/>
      </w:pPr>
      <w:r>
        <w:rPr>
          <w:rFonts w:ascii="Times New Roman" w:hAnsi="Times New Roman"/>
          <w:b w:val="0"/>
          <w:i w:val="0"/>
          <w:sz w:val="24"/>
        </w:rPr>
        <w:t>Bài 55 (đối chiếu) — Chen, H., Wang, Q., Zhu, J., Zhu, Y., Yang, F., Hui, J., Tang, X., &amp; Zhang, T. (2025). Protective and risk factors of anxiety in children and adolescents during COVID-19: A systematic review and three level meta-analysis. Journal of Affective Disorders, 374, 408–432. DOI 10.1016/j.jad.2025.01.029</w:t>
      </w:r>
    </w:p>
    <w:p>
      <w:r>
        <w:rPr>
          <w:rFonts w:ascii="Times New Roman" w:hAnsi="Times New Roman"/>
          <w:b w:val="0"/>
          <w:i/>
          <w:sz w:val="20"/>
        </w:rPr>
        <w:t>* Các bài đánh dấu * chỉ có thông tin abstract qua paywall (chưa có toàn văn).</w:t>
      </w:r>
    </w:p>
    <w:p>
      <w:pPr>
        <w:jc w:val="center"/>
      </w:pPr>
      <w:r>
        <w:rPr>
          <w:rFonts w:ascii="Times New Roman" w:hAnsi="Times New Roman"/>
          <w:b w:val="0"/>
          <w:i/>
          <w:sz w:val="24"/>
        </w:rPr>
        <w:t>---</w:t>
      </w:r>
    </w:p>
    <w:p>
      <w:pPr>
        <w:jc w:val="center"/>
      </w:pPr>
      <w:r>
        <w:rPr>
          <w:rFonts w:ascii="Times New Roman" w:hAnsi="Times New Roman"/>
          <w:b w:val="0"/>
          <w:i/>
          <w:sz w:val="20"/>
        </w:rPr>
        <w:t>Tổng hợp 15 công trình can thiệp + 2 bài đối chiếu | Phong cách Công Thị Hằng v5</w:t>
        <w:br/>
        <w:t>Cập nhật: 10/04/2026 | Dự án Lo âu — Nhóm nghiên cứu Tâm lý học</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