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VÀ CAN THIỆP TÂM LÝ</w:t>
        <w:br/>
        <w:t>CHO TRẺ VỊ THÀNH NIÊN BỊ RỐI LOẠN LO ÂU</w:t>
      </w:r>
    </w:p>
    <w:p>
      <w:pPr>
        <w:jc w:val="center"/>
      </w:pPr>
      <w:r>
        <w:rPr>
          <w:rFonts w:ascii="Times New Roman" w:hAnsi="Times New Roman"/>
          <w:b w:val="0"/>
          <w:i/>
          <w:sz w:val="24"/>
        </w:rPr>
        <w:t>Phiên bản 3 (cập nhật 11/04/2026)</w:t>
      </w:r>
    </w:p>
    <w:p>
      <w:pPr>
        <w:jc w:val="center"/>
      </w:pPr>
      <w:r>
        <w:rPr>
          <w:rFonts w:ascii="Times New Roman" w:hAnsi="Times New Roman"/>
          <w:b/>
          <w:i/>
          <w:color w:val="CC0000"/>
          <w:sz w:val="24"/>
        </w:rPr>
        <w:t>NHỮNG CẬP NHẬT QUAN TRỌNG SO VỚI V2 (10/04/2026) ĐƯỢC TÔ MÀU ĐỎ</w:t>
      </w:r>
    </w:p>
    <w:p>
      <w:pPr>
        <w:jc w:val="center"/>
      </w:pPr>
      <w:r>
        <w:rPr>
          <w:rFonts w:ascii="Times New Roman" w:hAnsi="Times New Roman"/>
          <w:b w:val="0"/>
          <w:i/>
          <w:sz w:val="24"/>
        </w:rPr>
        <w:t>Tổng hợp 23 công trình nghiên cứu — Phân theo 3 vùng địa lý:</w:t>
        <w:br/>
        <w:t>(1) Việt Nam | (2) Châu Á (ngoài Việt Nam) | (3) Châu Âu — Châu Úc — Châu Mỹ</w:t>
      </w:r>
    </w:p>
    <w:p>
      <w:pPr>
        <w:pStyle w:val="Heading2"/>
      </w:pPr>
      <w:r>
        <w:rPr>
          <w:rFonts w:ascii="Times New Roman" w:hAnsi="Times New Roman"/>
          <w:color w:val="CC0000"/>
        </w:rPr>
        <w:t>NHỮNG CẬP NHẬT TRONG V3 (so với v2 ngày 10/04/2026)</w:t>
      </w:r>
    </w:p>
    <w:p>
      <w:pPr>
        <w:jc w:val="both"/>
      </w:pPr>
      <w:r>
        <w:rPr>
          <w:rFonts w:ascii="Times New Roman" w:hAnsi="Times New Roman"/>
          <w:b/>
          <w:i w:val="0"/>
          <w:color w:val="CC0000"/>
          <w:sz w:val="24"/>
        </w:rPr>
        <w:t>Bản v3 bổ sung và sửa đổi như sau so với v2:</w:t>
      </w:r>
    </w:p>
    <w:p>
      <w:pPr>
        <w:jc w:val="both"/>
      </w:pPr>
      <w:r>
        <w:rPr>
          <w:rFonts w:ascii="Times New Roman" w:hAnsi="Times New Roman"/>
          <w:b w:val="0"/>
          <w:i w:val="0"/>
          <w:color w:val="CC0000"/>
          <w:sz w:val="24"/>
        </w:rPr>
        <w:t>1. PHÁT HIỆN QUAN TRỌNG NHẤT — Happy House RCT Việt Nam (Tran, Nguyen, Shochet et al. 2023, Cambridge Prisms: Global Mental Health): đây là RCT trường học ĐẦU TIÊN cho VTN tại Việt Nam (n = 1.084 HS lớp 10 Hà Nội) — TRÁI với khẳng định trong v2 rằng "0 RCT VN cho VTN". Cần cập nhật mạnh phần Việt Nam.</w:t>
      </w:r>
    </w:p>
    <w:p>
      <w:pPr>
        <w:jc w:val="both"/>
      </w:pPr>
      <w:r>
        <w:rPr>
          <w:rFonts w:ascii="Times New Roman" w:hAnsi="Times New Roman"/>
          <w:b w:val="0"/>
          <w:i w:val="0"/>
          <w:color w:val="CC0000"/>
          <w:sz w:val="24"/>
        </w:rPr>
        <w:t>2. Sửa 4 lỗi tìm thấy qua kiểm tra QA: (a) VN25 Hải Phòng tỷ lệ lo âu thực tế là 53,81% (THPT Cộng Hiền) hoặc 43,33% (GDNN-GDTX Vĩnh Bảo), không phải 39,3% như v2; (b) QT44 tác giả là Cai (không phải Cao); (c) QT45 Sasaki ID đăng ký UMIN000050064 (không phải UMIN000049768); (d) QT46 bổ sung tác giả Jagiello et al. 2025.</w:t>
      </w:r>
    </w:p>
    <w:p>
      <w:pPr>
        <w:jc w:val="both"/>
      </w:pPr>
      <w:r>
        <w:rPr>
          <w:rFonts w:ascii="Times New Roman" w:hAnsi="Times New Roman"/>
          <w:b w:val="0"/>
          <w:i w:val="0"/>
          <w:color w:val="CC0000"/>
          <w:sz w:val="24"/>
        </w:rPr>
        <w:t>3. Bổ sung 8 nghiên cứu mới tìm từ web 2024–2025: Happy House VN, Tran Duc Si Long An 2025, School Nurse SR (tandfonline 2025), CoolMinds ICBT 2025, ICBT stepped care videoconferencing (JMIR Mental Health 2025), MIXCS Japan CA-CBT 2025, VR exposure therapy SR+MA 2025, Physical activity umbrella review 2025 (JAACAP).</w:t>
      </w:r>
    </w:p>
    <w:p>
      <w:pPr>
        <w:jc w:val="both"/>
      </w:pPr>
      <w:r>
        <w:rPr>
          <w:rFonts w:ascii="Times New Roman" w:hAnsi="Times New Roman"/>
          <w:b w:val="0"/>
          <w:i w:val="0"/>
          <w:color w:val="CC0000"/>
          <w:sz w:val="24"/>
        </w:rPr>
        <w:t>4. Bổ sung 2 bản dịch mới (bài 59, 60): Đào Thị Ngoãn 2025 TCNCYH (SV năm 4 ĐH Y Hà Nội) + Duong et al. 2025 (Social Psychiatry Q1, n = 2.631 HS TPHCM).</w:t>
      </w:r>
    </w:p>
    <w:p>
      <w:pPr>
        <w:jc w:val="both"/>
      </w:pPr>
      <w:r>
        <w:rPr>
          <w:rFonts w:ascii="Times New Roman" w:hAnsi="Times New Roman"/>
          <w:b w:val="0"/>
          <w:i w:val="0"/>
          <w:color w:val="CC0000"/>
          <w:sz w:val="24"/>
        </w:rPr>
        <w:t>5. Cập nhật bảng xếp hạng can thiệp + đề xuất 5 thành phần can thiệp — mở rộng thêm cấp độ phụ huynh (parent-child communication) dựa vào Zapf 2024 JCPP Advances + Menon 2025.</w:t>
      </w:r>
    </w:p>
    <w:p>
      <w:pPr>
        <w:jc w:val="both"/>
      </w:pPr>
      <w:r>
        <w:rPr>
          <w:rFonts w:ascii="Times New Roman" w:hAnsi="Times New Roman"/>
          <w:b w:val="0"/>
          <w:i/>
          <w:sz w:val="22"/>
        </w:rPr>
        <w:t>Các phần KHÔNG được tô đỏ giữ nguyên từ v2 — để tiện so sánh.</w:t>
      </w:r>
    </w:p>
    <w:p>
      <w:pPr>
        <w:pStyle w:val="Heading2"/>
      </w:pPr>
      <w:r>
        <w:rPr>
          <w:rFonts w:ascii="Times New Roman" w:hAnsi="Times New Roman"/>
          <w:color w:val="000000"/>
        </w:rPr>
        <w:t>TÓM LƯỢC ĐIỀU HÀNH</w:t>
      </w:r>
    </w:p>
    <w:p>
      <w:pPr>
        <w:jc w:val="both"/>
      </w:pPr>
      <w:r>
        <w:rPr>
          <w:rFonts w:ascii="Times New Roman" w:hAnsi="Times New Roman"/>
          <w:b w:val="0"/>
          <w:i w:val="0"/>
          <w:sz w:val="24"/>
        </w:rPr>
        <w:t>Báo cáo này tổng hợp 23 công trình nghiên cứu về biện pháp hỗ trợ và can thiệp tâm lý cho rối loạn lo âu (RLLA) ở trẻ vị thành niên (VTN), được phân theo ba vùng địa lý nhằm làm rõ bằng chứng khu vực, mức độ phù hợp văn hoá và khả năng áp dụng cho Việt Nam. Phương pháp tổng hợp kết hợp đối chiếu liên bài, phân tích phản biện và xếp hạng bằng chứng theo chất lượng thiết kế nghiên cứu.</w:t>
      </w:r>
    </w:p>
    <w:p>
      <w:pPr>
        <w:jc w:val="both"/>
      </w:pPr>
      <w:r>
        <w:rPr>
          <w:rFonts w:ascii="Times New Roman" w:hAnsi="Times New Roman"/>
          <w:b/>
          <w:i w:val="0"/>
          <w:sz w:val="24"/>
        </w:rPr>
        <w:t>Sáu phát hiện then chốt:</w:t>
      </w:r>
    </w:p>
    <w:p>
      <w:pPr>
        <w:jc w:val="both"/>
      </w:pPr>
      <w:r>
        <w:rPr>
          <w:rFonts w:ascii="Times New Roman" w:hAnsi="Times New Roman"/>
          <w:b w:val="0"/>
          <w:i w:val="0"/>
          <w:sz w:val="24"/>
        </w:rPr>
        <w:t>Thứ nhất, Liệu pháp Nhận thức – Hành vi (CBT) là phương pháp được chứng minh hiệu quả nhất và nhất quán xuyên suốt cả ba vùng địa lý. Bằng chứng vàng từ thử nghiệm CAMS (Walkup et al. 2008, NEJM 359:2753–66) cho thấy CBT kết hợp Sertraline đạt 80,7 % đáp ứng so với 59,7 % cho CBT đơn thuần và 23,7 % cho giả dược (n = 488 trẻ 7–17 tuổi).</w:t>
      </w:r>
    </w:p>
    <w:p>
      <w:pPr>
        <w:jc w:val="both"/>
      </w:pPr>
      <w:r>
        <w:rPr>
          <w:rFonts w:ascii="Times New Roman" w:hAnsi="Times New Roman"/>
          <w:b w:val="0"/>
          <w:i w:val="0"/>
          <w:sz w:val="24"/>
        </w:rPr>
        <w:t>Thứ hai, CBT qua Internet (iCBT) cho rối loạn lo âu xã hội (SAD) đứng hạng 1 trong phân tích tổng hợp mạng 30 RCT (Xian, Zhang &amp; Jiang 2024, J Affect Disord 365:614–627; SUCRA 71,2 %), và kích thước hiệu ứng đặc biệt LỚN khi can thiệp được thiết kế riêng cho SAD (Walder et al. 2025, JMIR; Hedges g = 0,878).</w:t>
      </w:r>
    </w:p>
    <w:p>
      <w:pPr>
        <w:jc w:val="both"/>
      </w:pPr>
      <w:r>
        <w:rPr>
          <w:rFonts w:ascii="Times New Roman" w:hAnsi="Times New Roman"/>
          <w:b w:val="0"/>
          <w:i w:val="0"/>
          <w:sz w:val="24"/>
        </w:rPr>
        <w:t>Thứ ba, ứng dụng di động CBT (Mobile CBT) cho hiệu quả MẠNH với trầm cảm (87,5 % nghiên cứu dương tính) nhưng YẾU với lo âu khi không thiết kế riêng (Qiaochu &amp; Wang 2025, Clin Psychol Psychother 32:e70173). Tuy nhiên RCT ứng dụng Maya của Bress et al. 2024 cho thấy hiệu lực rất lớn (Cohen d = 1,04 sau 12 tuần, JAMA Network Open 7(8):e2428372).</w:t>
      </w:r>
    </w:p>
    <w:p>
      <w:pPr>
        <w:jc w:val="both"/>
      </w:pPr>
      <w:r>
        <w:rPr>
          <w:rFonts w:ascii="Times New Roman" w:hAnsi="Times New Roman"/>
          <w:b w:val="0"/>
          <w:i w:val="0"/>
          <w:sz w:val="24"/>
        </w:rPr>
        <w:t>Thứ tư, can thiệp PHỔ QUÁT tại trường (universal CBT) chỉ cho hiệu quả nhỏ và chất lượng bằng chứng nền thấp (Zhang, Liang &amp; Kang 2026, J Clin Psychol 82:248–259, Bayesian MA 31 RCT, n = 19.865). Mô hình CHỈ ĐỊNH (targeted) cho học sinh có triệu chứng — như BESST UK (Brown &amp; Carter 2025, J Mental Health 34(4):357–361) — hứa hẹn hơn và phù hợp với cảnh báo của Brown &amp; Carter về thất bại Mindfulness phổ quát ở 8.376 học sinh UK.</w:t>
      </w:r>
    </w:p>
    <w:p>
      <w:pPr>
        <w:jc w:val="both"/>
      </w:pPr>
      <w:r>
        <w:rPr>
          <w:rFonts w:ascii="Times New Roman" w:hAnsi="Times New Roman"/>
          <w:b w:val="0"/>
          <w:i w:val="0"/>
          <w:color w:val="CC0000"/>
          <w:sz w:val="24"/>
        </w:rPr>
        <w:t>Thứ năm (CẬP NHẬT V3): TẠI VIỆT NAM đã có một RCT trường học cho VTN — thử nghiệm "Happy House" của Tran, Nguyen, Shochet và cộng sự (2023, Cambridge Prisms: Global Mental Health, xuất bản 10/2023). Đây là chương trình Resourceful Adolescent Program (RAP-A) được thích ứng văn hoá cho HS Việt Nam, 6 buổi mỗi buổi 90 phút, n = 1.084 HS lớp 10 Hà Nội (8 trường: 4 can thiệp + 4 đối chứng). Hiệu ứng trên trầm cảm: Cohen d = 0,11 (p = 0,011) ở 2 tuần sau can thiệp; OR = 0,56 (p = 0,027) cho trầm cảm có ý nghĩa lâm sàng. Tuy nhiên, tác dụng KHÔNG CÒN ý nghĩa thống kê ở 6 tháng theo dõi (có thể do ảnh hưởng COVID-19). KHOẢNG TRỐNG CÒN LẠI: RCT CBT TARGETED cho HS có triệu chứng (Happy House là UNIVERSAL), RCT cho rối loạn lo âu chuyên biệt, RCT cho THPT lớp 11–12 và THCS.</w:t>
      </w:r>
    </w:p>
    <w:p>
      <w:pPr>
        <w:jc w:val="both"/>
      </w:pPr>
      <w:r>
        <w:rPr>
          <w:rFonts w:ascii="Times New Roman" w:hAnsi="Times New Roman"/>
          <w:b w:val="0"/>
          <w:i w:val="0"/>
          <w:sz w:val="24"/>
        </w:rPr>
        <w:t>Thứ sáu, khu vực Đông Á và Thái Bình Dương ở các nước có thu nhập trung bình – thấp (LMIC) còn thiếu nghiêm trọng các can thiệp ở cấp CỘNG ĐỒNG, GIA ĐÌNH và dịch vụ ĐÁP ỨNG dài hạn (Menon et al. 2025, Asia Pac J Public Health 37(4):332–346, scoping review 69 nghiên cứu, 12 quốc gia).</w:t>
      </w:r>
    </w:p>
    <w:p>
      <w:r>
        <w:br w:type="page"/>
      </w:r>
    </w:p>
    <w:p>
      <w:pPr>
        <w:pStyle w:val="Heading1"/>
      </w:pPr>
      <w:r>
        <w:rPr>
          <w:rFonts w:ascii="Times New Roman" w:hAnsi="Times New Roman"/>
          <w:color w:val="000000"/>
        </w:rPr>
        <w:t>PHẦN I — VIỆT NAM</w:t>
      </w:r>
    </w:p>
    <w:p>
      <w:pPr>
        <w:jc w:val="both"/>
      </w:pPr>
      <w:r>
        <w:rPr>
          <w:rFonts w:ascii="Times New Roman" w:hAnsi="Times New Roman"/>
          <w:b w:val="0"/>
          <w:i/>
          <w:color w:val="CC0000"/>
          <w:sz w:val="24"/>
        </w:rPr>
        <w:t>CẬP NHẬT V3: Trong v2, phần này khẳng định "0 RCT can thiệp tâm lý cho VTN VN" — KHẲNG ĐỊNH NÀY KHÔNG CHÍNH XÁC. Sau khi tìm kiếm sâu trên web, chúng tôi phát hiện thử nghiệm Happy House (Tran et al. 2023, Cambridge Prisms: Global Mental Health) là RCT trường học ĐẦU TIÊN cho VTN tại Việt Nam. Phần I được viết lại để bao gồm phát hiện này bên cạnh luận án Trần Nguyễn Ngọc 2018 (đối tượng người lớn nội trú).</w:t>
      </w:r>
    </w:p>
    <w:p>
      <w:pPr>
        <w:pStyle w:val="Heading2"/>
      </w:pPr>
      <w:r>
        <w:rPr>
          <w:rFonts w:ascii="Times New Roman" w:hAnsi="Times New Roman"/>
          <w:color w:val="CC0000"/>
        </w:rPr>
        <w:t>1.1. Tran, Nguyen, Shochet et al. (2023) — Happy House RCT Việt Nam (BÀI MỚI TRONG V3)</w:t>
      </w:r>
    </w:p>
    <w:p>
      <w:pPr>
        <w:pStyle w:val="Heading3"/>
      </w:pPr>
      <w:r>
        <w:rPr>
          <w:rFonts w:ascii="Times New Roman" w:hAnsi="Times New Roman"/>
          <w:color w:val="CC0000"/>
        </w:rPr>
        <w:t>1.1.1. 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FFE4E1" w:val="clear"/>
          </w:tcPr>
          <w:p>
            <w:pPr>
              <w:jc w:val="center"/>
            </w:pPr>
            <w:r>
              <w:rPr>
                <w:rFonts w:ascii="Times New Roman" w:hAnsi="Times New Roman"/>
                <w:b/>
                <w:color w:val="CC0000"/>
                <w:sz w:val="20"/>
              </w:rPr>
              <w:t>Mục</w:t>
            </w:r>
          </w:p>
        </w:tc>
        <w:tc>
          <w:tcPr>
            <w:tcW w:w="6520" w:type="dxa"/>
            <w:shd w:fill="FFE4E1" w:val="clear"/>
          </w:tcPr>
          <w:p>
            <w:pPr>
              <w:jc w:val="center"/>
            </w:pPr>
            <w:r>
              <w:rPr>
                <w:rFonts w:ascii="Times New Roman" w:hAnsi="Times New Roman"/>
                <w:b/>
                <w:color w:val="CC0000"/>
                <w:sz w:val="20"/>
              </w:rPr>
              <w:t>Chi tiết</w:t>
            </w:r>
          </w:p>
        </w:tc>
      </w:tr>
      <w:tr>
        <w:tc>
          <w:tcPr>
            <w:tcW w:w="2268" w:type="dxa"/>
          </w:tcPr>
          <w:p>
            <w:r>
              <w:rPr>
                <w:rFonts w:ascii="Times New Roman" w:hAnsi="Times New Roman"/>
                <w:color w:val="CC0000"/>
                <w:sz w:val="20"/>
              </w:rPr>
              <w:t>Tác giả</w:t>
            </w:r>
          </w:p>
        </w:tc>
        <w:tc>
          <w:tcPr>
            <w:tcW w:w="6520" w:type="dxa"/>
          </w:tcPr>
          <w:p>
            <w:r>
              <w:rPr>
                <w:rFonts w:ascii="Times New Roman" w:hAnsi="Times New Roman"/>
                <w:color w:val="CC0000"/>
                <w:sz w:val="20"/>
              </w:rPr>
              <w:t>Thach Duc Tran, Huong Nguyen, Ian Shochet, Nga Nguyen, Nga La, Astrid Wurfl, Jayne Orr, Hau Nguyen, Ruby Stocker, Jane Fisher</w:t>
            </w:r>
          </w:p>
        </w:tc>
      </w:tr>
      <w:tr>
        <w:tc>
          <w:tcPr>
            <w:tcW w:w="2268" w:type="dxa"/>
          </w:tcPr>
          <w:p>
            <w:r>
              <w:rPr>
                <w:rFonts w:ascii="Times New Roman" w:hAnsi="Times New Roman"/>
                <w:color w:val="CC0000"/>
                <w:sz w:val="20"/>
              </w:rPr>
              <w:t>Đơn vị</w:t>
            </w:r>
          </w:p>
        </w:tc>
        <w:tc>
          <w:tcPr>
            <w:tcW w:w="6520" w:type="dxa"/>
          </w:tcPr>
          <w:p>
            <w:r>
              <w:rPr>
                <w:rFonts w:ascii="Times New Roman" w:hAnsi="Times New Roman"/>
                <w:color w:val="CC0000"/>
                <w:sz w:val="20"/>
              </w:rPr>
              <w:t>Monash University (Úc), Queensland University of Technology (Úc), và các đơn vị đối tác Việt Nam tại Hà Nội</w:t>
            </w:r>
          </w:p>
        </w:tc>
      </w:tr>
      <w:tr>
        <w:tc>
          <w:tcPr>
            <w:tcW w:w="2268" w:type="dxa"/>
          </w:tcPr>
          <w:p>
            <w:r>
              <w:rPr>
                <w:rFonts w:ascii="Times New Roman" w:hAnsi="Times New Roman"/>
                <w:color w:val="CC0000"/>
                <w:sz w:val="20"/>
              </w:rPr>
              <w:t>Tiêu đề</w:t>
            </w:r>
          </w:p>
        </w:tc>
        <w:tc>
          <w:tcPr>
            <w:tcW w:w="6520" w:type="dxa"/>
          </w:tcPr>
          <w:p>
            <w:r>
              <w:rPr>
                <w:rFonts w:ascii="Times New Roman" w:hAnsi="Times New Roman"/>
                <w:color w:val="CC0000"/>
                <w:sz w:val="20"/>
              </w:rPr>
              <w:t>School-based universal mental health promotion intervention for adolescents in Vietnam: Two-arm, parallel, controlled trial</w:t>
            </w:r>
          </w:p>
        </w:tc>
      </w:tr>
      <w:tr>
        <w:tc>
          <w:tcPr>
            <w:tcW w:w="2268" w:type="dxa"/>
          </w:tcPr>
          <w:p>
            <w:r>
              <w:rPr>
                <w:rFonts w:ascii="Times New Roman" w:hAnsi="Times New Roman"/>
                <w:color w:val="CC0000"/>
                <w:sz w:val="20"/>
              </w:rPr>
              <w:t>Tạp chí</w:t>
            </w:r>
          </w:p>
        </w:tc>
        <w:tc>
          <w:tcPr>
            <w:tcW w:w="6520" w:type="dxa"/>
          </w:tcPr>
          <w:p>
            <w:r>
              <w:rPr>
                <w:rFonts w:ascii="Times New Roman" w:hAnsi="Times New Roman"/>
                <w:color w:val="CC0000"/>
                <w:sz w:val="20"/>
              </w:rPr>
              <w:t>Cambridge Prisms: Global Mental Health</w:t>
            </w:r>
          </w:p>
        </w:tc>
      </w:tr>
      <w:tr>
        <w:tc>
          <w:tcPr>
            <w:tcW w:w="2268" w:type="dxa"/>
          </w:tcPr>
          <w:p>
            <w:r>
              <w:rPr>
                <w:rFonts w:ascii="Times New Roman" w:hAnsi="Times New Roman"/>
                <w:color w:val="CC0000"/>
                <w:sz w:val="20"/>
              </w:rPr>
              <w:t>Năm</w:t>
            </w:r>
          </w:p>
        </w:tc>
        <w:tc>
          <w:tcPr>
            <w:tcW w:w="6520" w:type="dxa"/>
          </w:tcPr>
          <w:p>
            <w:r>
              <w:rPr>
                <w:rFonts w:ascii="Times New Roman" w:hAnsi="Times New Roman"/>
                <w:color w:val="CC0000"/>
                <w:sz w:val="20"/>
              </w:rPr>
              <w:t>10/2023</w:t>
            </w:r>
          </w:p>
        </w:tc>
      </w:tr>
      <w:tr>
        <w:tc>
          <w:tcPr>
            <w:tcW w:w="2268" w:type="dxa"/>
          </w:tcPr>
          <w:p>
            <w:r>
              <w:rPr>
                <w:rFonts w:ascii="Times New Roman" w:hAnsi="Times New Roman"/>
                <w:color w:val="CC0000"/>
                <w:sz w:val="20"/>
              </w:rPr>
              <w:t>Link</w:t>
            </w:r>
          </w:p>
        </w:tc>
        <w:tc>
          <w:tcPr>
            <w:tcW w:w="6520" w:type="dxa"/>
          </w:tcPr>
          <w:p>
            <w:r>
              <w:rPr>
                <w:rFonts w:ascii="Times New Roman" w:hAnsi="Times New Roman"/>
                <w:color w:val="CC0000"/>
                <w:sz w:val="20"/>
              </w:rPr>
              <w:t>https://pmc.ncbi.nlm.nih.gov/articles/PMC10643236/</w:t>
            </w:r>
          </w:p>
        </w:tc>
      </w:tr>
      <w:tr>
        <w:tc>
          <w:tcPr>
            <w:tcW w:w="2268" w:type="dxa"/>
          </w:tcPr>
          <w:p>
            <w:r>
              <w:rPr>
                <w:rFonts w:ascii="Times New Roman" w:hAnsi="Times New Roman"/>
                <w:color w:val="CC0000"/>
                <w:sz w:val="20"/>
              </w:rPr>
              <w:t>Loại NC</w:t>
            </w:r>
          </w:p>
        </w:tc>
        <w:tc>
          <w:tcPr>
            <w:tcW w:w="6520" w:type="dxa"/>
          </w:tcPr>
          <w:p>
            <w:r>
              <w:rPr>
                <w:rFonts w:ascii="Times New Roman" w:hAnsi="Times New Roman"/>
                <w:color w:val="CC0000"/>
                <w:sz w:val="20"/>
              </w:rPr>
              <w:t>Cluster RCT hai nhánh song song có đối chứng</w:t>
            </w:r>
          </w:p>
        </w:tc>
      </w:tr>
      <w:tr>
        <w:tc>
          <w:tcPr>
            <w:tcW w:w="2268" w:type="dxa"/>
          </w:tcPr>
          <w:p>
            <w:r>
              <w:rPr>
                <w:rFonts w:ascii="Times New Roman" w:hAnsi="Times New Roman"/>
                <w:color w:val="CC0000"/>
                <w:sz w:val="20"/>
              </w:rPr>
              <w:t>Mẫu</w:t>
            </w:r>
          </w:p>
        </w:tc>
        <w:tc>
          <w:tcPr>
            <w:tcW w:w="6520" w:type="dxa"/>
          </w:tcPr>
          <w:p>
            <w:r>
              <w:rPr>
                <w:rFonts w:ascii="Times New Roman" w:hAnsi="Times New Roman"/>
                <w:color w:val="CC0000"/>
                <w:sz w:val="20"/>
              </w:rPr>
              <w:t>1.084 HS lớp 10 (531 can thiệp + 552 đối chứng), 8 trường THPT Hà Nội (4 can thiệp + 4 đối chứng)</w:t>
            </w:r>
          </w:p>
        </w:tc>
      </w:tr>
      <w:tr>
        <w:tc>
          <w:tcPr>
            <w:tcW w:w="2268" w:type="dxa"/>
          </w:tcPr>
          <w:p>
            <w:r>
              <w:rPr>
                <w:rFonts w:ascii="Times New Roman" w:hAnsi="Times New Roman"/>
                <w:color w:val="CC0000"/>
                <w:sz w:val="20"/>
              </w:rPr>
              <w:t>Can thiệp</w:t>
            </w:r>
          </w:p>
        </w:tc>
        <w:tc>
          <w:tcPr>
            <w:tcW w:w="6520" w:type="dxa"/>
          </w:tcPr>
          <w:p>
            <w:r>
              <w:rPr>
                <w:rFonts w:ascii="Times New Roman" w:hAnsi="Times New Roman"/>
                <w:color w:val="CC0000"/>
                <w:sz w:val="20"/>
              </w:rPr>
              <w:t>Happy House — chương trình RAP-A (Resourceful Adolescent Program) đã được THÍCH ỨNG VĂN HOÁ Việt Nam</w:t>
            </w:r>
          </w:p>
        </w:tc>
      </w:tr>
      <w:tr>
        <w:tc>
          <w:tcPr>
            <w:tcW w:w="2268" w:type="dxa"/>
          </w:tcPr>
          <w:p>
            <w:r>
              <w:rPr>
                <w:rFonts w:ascii="Times New Roman" w:hAnsi="Times New Roman"/>
                <w:color w:val="CC0000"/>
                <w:sz w:val="20"/>
              </w:rPr>
              <w:t>Thời lượng</w:t>
            </w:r>
          </w:p>
        </w:tc>
        <w:tc>
          <w:tcPr>
            <w:tcW w:w="6520" w:type="dxa"/>
          </w:tcPr>
          <w:p>
            <w:r>
              <w:rPr>
                <w:rFonts w:ascii="Times New Roman" w:hAnsi="Times New Roman"/>
                <w:color w:val="CC0000"/>
                <w:sz w:val="20"/>
              </w:rPr>
              <w:t>6 buổi, mỗi buổi 90 phút, trong 6 tuần</w:t>
            </w:r>
          </w:p>
        </w:tc>
      </w:tr>
      <w:tr>
        <w:tc>
          <w:tcPr>
            <w:tcW w:w="2268" w:type="dxa"/>
          </w:tcPr>
          <w:p>
            <w:r>
              <w:rPr>
                <w:rFonts w:ascii="Times New Roman" w:hAnsi="Times New Roman"/>
                <w:color w:val="CC0000"/>
                <w:sz w:val="20"/>
              </w:rPr>
              <w:t>Cơ chế lý thuyết</w:t>
            </w:r>
          </w:p>
        </w:tc>
        <w:tc>
          <w:tcPr>
            <w:tcW w:w="6520" w:type="dxa"/>
          </w:tcPr>
          <w:p>
            <w:r>
              <w:rPr>
                <w:rFonts w:ascii="Times New Roman" w:hAnsi="Times New Roman"/>
                <w:color w:val="CC0000"/>
                <w:sz w:val="20"/>
              </w:rPr>
              <w:t>CBT + liệu pháp giữa cá nhân (IPT) — kỹ năng "positive self-talk", giữ bình tĩnh, giải quyết vấn đề, mạng lưới hỗ trợ</w:t>
            </w:r>
          </w:p>
        </w:tc>
      </w:tr>
      <w:tr>
        <w:tc>
          <w:tcPr>
            <w:tcW w:w="2268" w:type="dxa"/>
          </w:tcPr>
          <w:p>
            <w:r>
              <w:rPr>
                <w:rFonts w:ascii="Times New Roman" w:hAnsi="Times New Roman"/>
                <w:color w:val="CC0000"/>
                <w:sz w:val="20"/>
              </w:rPr>
              <w:t>Người cung cấp</w:t>
            </w:r>
          </w:p>
        </w:tc>
        <w:tc>
          <w:tcPr>
            <w:tcW w:w="6520" w:type="dxa"/>
          </w:tcPr>
          <w:p>
            <w:r>
              <w:rPr>
                <w:rFonts w:ascii="Times New Roman" w:hAnsi="Times New Roman"/>
                <w:color w:val="CC0000"/>
                <w:sz w:val="20"/>
              </w:rPr>
              <w:t>Giáo viên đã được đào tạo, dạy theo nhóm lớp</w:t>
            </w:r>
          </w:p>
        </w:tc>
      </w:tr>
      <w:tr>
        <w:tc>
          <w:tcPr>
            <w:tcW w:w="2268" w:type="dxa"/>
          </w:tcPr>
          <w:p>
            <w:r>
              <w:rPr>
                <w:rFonts w:ascii="Times New Roman" w:hAnsi="Times New Roman"/>
                <w:color w:val="CC0000"/>
                <w:sz w:val="20"/>
              </w:rPr>
              <w:t>Công cụ đo</w:t>
            </w:r>
          </w:p>
        </w:tc>
        <w:tc>
          <w:tcPr>
            <w:tcW w:w="6520" w:type="dxa"/>
          </w:tcPr>
          <w:p>
            <w:r>
              <w:rPr>
                <w:rFonts w:ascii="Times New Roman" w:hAnsi="Times New Roman"/>
                <w:color w:val="CC0000"/>
                <w:sz w:val="20"/>
              </w:rPr>
              <w:t>Thang trầm cảm (chính), thang phúc lợi tâm lý, coping self-efficacy</w:t>
            </w:r>
          </w:p>
        </w:tc>
      </w:tr>
      <w:tr>
        <w:tc>
          <w:tcPr>
            <w:tcW w:w="2268" w:type="dxa"/>
          </w:tcPr>
          <w:p>
            <w:r>
              <w:rPr>
                <w:rFonts w:ascii="Times New Roman" w:hAnsi="Times New Roman"/>
                <w:color w:val="CC0000"/>
                <w:sz w:val="20"/>
              </w:rPr>
              <w:t>Thời điểm đo</w:t>
            </w:r>
          </w:p>
        </w:tc>
        <w:tc>
          <w:tcPr>
            <w:tcW w:w="6520" w:type="dxa"/>
          </w:tcPr>
          <w:p>
            <w:r>
              <w:rPr>
                <w:rFonts w:ascii="Times New Roman" w:hAnsi="Times New Roman"/>
                <w:color w:val="CC0000"/>
                <w:sz w:val="20"/>
              </w:rPr>
              <w:t>Trước can thiệp, 2 tuần sau, 6 tháng sau</w:t>
            </w:r>
          </w:p>
        </w:tc>
      </w:tr>
    </w:tbl>
    <w:p>
      <w:pPr>
        <w:pStyle w:val="Heading3"/>
      </w:pPr>
      <w:r>
        <w:rPr>
          <w:rFonts w:ascii="Times New Roman" w:hAnsi="Times New Roman"/>
          <w:color w:val="CC0000"/>
        </w:rPr>
        <w:t>1.1.2. Kết quả chính</w:t>
      </w:r>
    </w:p>
    <w:tbl>
      <w:tblPr>
        <w:tblStyle w:val="TableGrid"/>
        <w:tblW w:type="auto" w:w="0"/>
        <w:jc w:val="center"/>
        <w:tblLook w:firstColumn="1" w:firstRow="1" w:lastColumn="0" w:lastRow="0" w:noHBand="0" w:noVBand="1" w:val="04A0"/>
        <w:tblLayout w:type="fixed"/>
      </w:tblPr>
      <w:tblGrid>
        <w:gridCol w:w="3118"/>
        <w:gridCol w:w="2835"/>
        <w:gridCol w:w="2835"/>
      </w:tblGrid>
      <w:tr>
        <w:tc>
          <w:tcPr>
            <w:tcW w:w="3118" w:type="dxa"/>
            <w:shd w:fill="FFE4E1" w:val="clear"/>
          </w:tcPr>
          <w:p>
            <w:pPr>
              <w:jc w:val="center"/>
            </w:pPr>
            <w:r>
              <w:rPr>
                <w:rFonts w:ascii="Times New Roman" w:hAnsi="Times New Roman"/>
                <w:b/>
                <w:color w:val="CC0000"/>
                <w:sz w:val="20"/>
              </w:rPr>
              <w:t>Kết quả</w:t>
            </w:r>
          </w:p>
        </w:tc>
        <w:tc>
          <w:tcPr>
            <w:tcW w:w="2835" w:type="dxa"/>
            <w:shd w:fill="FFE4E1" w:val="clear"/>
          </w:tcPr>
          <w:p>
            <w:pPr>
              <w:jc w:val="center"/>
            </w:pPr>
            <w:r>
              <w:rPr>
                <w:rFonts w:ascii="Times New Roman" w:hAnsi="Times New Roman"/>
                <w:b/>
                <w:color w:val="CC0000"/>
                <w:sz w:val="20"/>
              </w:rPr>
              <w:t>2 tuần sau</w:t>
            </w:r>
          </w:p>
        </w:tc>
        <w:tc>
          <w:tcPr>
            <w:tcW w:w="2835" w:type="dxa"/>
            <w:shd w:fill="FFE4E1" w:val="clear"/>
          </w:tcPr>
          <w:p>
            <w:pPr>
              <w:jc w:val="center"/>
            </w:pPr>
            <w:r>
              <w:rPr>
                <w:rFonts w:ascii="Times New Roman" w:hAnsi="Times New Roman"/>
                <w:b/>
                <w:color w:val="CC0000"/>
                <w:sz w:val="20"/>
              </w:rPr>
              <w:t>6 tháng sau</w:t>
            </w:r>
          </w:p>
        </w:tc>
      </w:tr>
      <w:tr>
        <w:tc>
          <w:tcPr>
            <w:tcW w:w="3118" w:type="dxa"/>
          </w:tcPr>
          <w:p>
            <w:r>
              <w:rPr>
                <w:rFonts w:ascii="Times New Roman" w:hAnsi="Times New Roman"/>
                <w:color w:val="CC0000"/>
                <w:sz w:val="20"/>
              </w:rPr>
              <w:t>Trầm cảm (Cohen d)</w:t>
            </w:r>
          </w:p>
        </w:tc>
        <w:tc>
          <w:tcPr>
            <w:tcW w:w="2835" w:type="dxa"/>
          </w:tcPr>
          <w:p>
            <w:r>
              <w:rPr>
                <w:rFonts w:ascii="Times New Roman" w:hAnsi="Times New Roman"/>
                <w:color w:val="CC0000"/>
                <w:sz w:val="20"/>
              </w:rPr>
              <w:t>d = 0,11 (p = 0,011)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Tỷ lệ trầm cảm lâm sàng</w:t>
            </w:r>
          </w:p>
        </w:tc>
        <w:tc>
          <w:tcPr>
            <w:tcW w:w="2835" w:type="dxa"/>
          </w:tcPr>
          <w:p>
            <w:r>
              <w:rPr>
                <w:rFonts w:ascii="Times New Roman" w:hAnsi="Times New Roman"/>
                <w:color w:val="CC0000"/>
                <w:sz w:val="20"/>
              </w:rPr>
              <w:t>OR = 0,56 (p = 0,027)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Phúc lợi tâm lý</w:t>
            </w:r>
          </w:p>
        </w:tc>
        <w:tc>
          <w:tcPr>
            <w:tcW w:w="2835" w:type="dxa"/>
          </w:tcPr>
          <w:p>
            <w:r>
              <w:rPr>
                <w:rFonts w:ascii="Times New Roman" w:hAnsi="Times New Roman"/>
                <w:color w:val="CC0000"/>
                <w:sz w:val="20"/>
              </w:rPr>
              <w:t>d = 0,13 (p &lt; 0,05)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Coping self-efficacy</w:t>
            </w:r>
          </w:p>
        </w:tc>
        <w:tc>
          <w:tcPr>
            <w:tcW w:w="2835" w:type="dxa"/>
          </w:tcPr>
          <w:p>
            <w:r>
              <w:rPr>
                <w:rFonts w:ascii="Times New Roman" w:hAnsi="Times New Roman"/>
                <w:color w:val="CC0000"/>
                <w:sz w:val="20"/>
              </w:rPr>
              <w:t>d = 0,17–0,26 *</w:t>
            </w:r>
          </w:p>
        </w:tc>
        <w:tc>
          <w:tcPr>
            <w:tcW w:w="2835" w:type="dxa"/>
          </w:tcPr>
          <w:p>
            <w:r>
              <w:rPr>
                <w:rFonts w:ascii="Times New Roman" w:hAnsi="Times New Roman"/>
                <w:color w:val="CC0000"/>
                <w:sz w:val="20"/>
              </w:rPr>
              <w:t>d = 0,17–0,26 * DUY TRÌ</w:t>
            </w:r>
          </w:p>
        </w:tc>
      </w:tr>
    </w:tbl>
    <w:p>
      <w:pPr>
        <w:jc w:val="both"/>
      </w:pPr>
      <w:r>
        <w:rPr>
          <w:rFonts w:ascii="Times New Roman" w:hAnsi="Times New Roman"/>
          <w:b w:val="0"/>
          <w:i/>
          <w:color w:val="CC0000"/>
          <w:sz w:val="20"/>
        </w:rPr>
        <w:t>* có ý nghĩa thống kê. Nguồn: Tran et al. 2023, Cambridge Prisms Global Mental Health, https://pmc.ncbi.nlm.nih.gov/articles/PMC10643236/</w:t>
      </w:r>
    </w:p>
    <w:p>
      <w:pPr>
        <w:pStyle w:val="Heading3"/>
      </w:pPr>
      <w:r>
        <w:rPr>
          <w:rFonts w:ascii="Times New Roman" w:hAnsi="Times New Roman"/>
          <w:color w:val="CC0000"/>
        </w:rPr>
        <w:t>1.1.3. 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Đây là RCT CLUSTER đầu tiên về can thiệp SKTT học đường cho VTN Việt Nam — lấp khoảng trống nghiên cứu cực lớn mà dự án của chúng ta đã xác định trước đó.</w:t>
      </w:r>
    </w:p>
    <w:p>
      <w:pPr>
        <w:jc w:val="both"/>
      </w:pPr>
      <w:r>
        <w:rPr>
          <w:rFonts w:ascii="Times New Roman" w:hAnsi="Times New Roman"/>
          <w:b w:val="0"/>
          <w:i w:val="0"/>
          <w:color w:val="CC0000"/>
          <w:sz w:val="24"/>
        </w:rPr>
        <w:t>• Cỡ mẫu rất lớn (n = 1.084) — đủ power cho phân tích hồi quy đa biến và subgroup.</w:t>
      </w:r>
    </w:p>
    <w:p>
      <w:pPr>
        <w:jc w:val="both"/>
      </w:pPr>
      <w:r>
        <w:rPr>
          <w:rFonts w:ascii="Times New Roman" w:hAnsi="Times New Roman"/>
          <w:b w:val="0"/>
          <w:i w:val="0"/>
          <w:color w:val="CC0000"/>
          <w:sz w:val="24"/>
        </w:rPr>
        <w:t>• Chương trình RAP-A có cơ sở bằng chứng quốc tế mạnh (Úc) + được thích ứng văn hoá Việt Nam một cách hệ thống (xem Nguyen et al. 2022 PLOS ONE về quá trình adaptation).</w:t>
      </w:r>
    </w:p>
    <w:p>
      <w:pPr>
        <w:jc w:val="both"/>
      </w:pPr>
      <w:r>
        <w:rPr>
          <w:rFonts w:ascii="Times New Roman" w:hAnsi="Times New Roman"/>
          <w:b w:val="0"/>
          <w:i w:val="0"/>
          <w:color w:val="CC0000"/>
          <w:sz w:val="24"/>
        </w:rPr>
        <w:t>• Tác giả liên kết Việt–Úc (Monash, QUT + Hà Nội) — mô hình hợp tác quốc tế mẫu.</w:t>
      </w:r>
    </w:p>
    <w:p>
      <w:pPr>
        <w:jc w:val="both"/>
      </w:pPr>
      <w:r>
        <w:rPr>
          <w:rFonts w:ascii="Times New Roman" w:hAnsi="Times New Roman"/>
          <w:b w:val="0"/>
          <w:i w:val="0"/>
          <w:color w:val="CC0000"/>
          <w:sz w:val="24"/>
        </w:rPr>
        <w:t>• Coping self-efficacy DUY TRÌ ở 6 tháng — cho thấy can thiệp có hiệu quả dài hạn trên khả năng ứng phó, dù không còn giảm triệu chứng.</w:t>
      </w:r>
    </w:p>
    <w:p>
      <w:pPr>
        <w:jc w:val="both"/>
      </w:pPr>
      <w:r>
        <w:rPr>
          <w:rFonts w:ascii="Times New Roman" w:hAnsi="Times New Roman"/>
          <w:b w:val="0"/>
          <w:i w:val="0"/>
          <w:color w:val="CC0000"/>
          <w:sz w:val="24"/>
        </w:rPr>
        <w:t>• Trẻ em/VTN được can thiệp là LỚP 10 Hà Nội — đúng nhóm tuổi và đô thị trung tâm VN.</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Đây là can thiệp UNIVERSAL (phổ quát toàn lớp), KHÔNG phải TARGETED cho HS có triệu chứng. Hiệu ứng nhỏ (d = 0,11) có thể do dilution — phù hợp với cảnh báo của Zhang, Liang &amp; Kang 2026 (Bayesian MA 31 RCT universal CBT).</w:t>
      </w:r>
    </w:p>
    <w:p>
      <w:pPr>
        <w:jc w:val="both"/>
      </w:pPr>
      <w:r>
        <w:rPr>
          <w:rFonts w:ascii="Times New Roman" w:hAnsi="Times New Roman"/>
          <w:b w:val="0"/>
          <w:i w:val="0"/>
          <w:color w:val="CC0000"/>
          <w:sz w:val="24"/>
        </w:rPr>
        <w:t>• Hiệu ứng KHÔNG CÒN ý nghĩa ở 6 tháng — có thể do COVID-19 gián đoạn hoặc do liều can thiệp quá ngắn (6 buổi × 90 phút). Cần booster session.</w:t>
      </w:r>
    </w:p>
    <w:p>
      <w:pPr>
        <w:jc w:val="both"/>
      </w:pPr>
      <w:r>
        <w:rPr>
          <w:rFonts w:ascii="Times New Roman" w:hAnsi="Times New Roman"/>
          <w:b w:val="0"/>
          <w:i w:val="0"/>
          <w:color w:val="CC0000"/>
          <w:sz w:val="24"/>
        </w:rPr>
        <w:t>• Đo TRẦM CẢM chính, KHÔNG đo LO ÂU riêng — chưa có bằng chứng cho rối loạn lo âu cụ thể.</w:t>
      </w:r>
    </w:p>
    <w:p>
      <w:pPr>
        <w:jc w:val="both"/>
      </w:pPr>
      <w:r>
        <w:rPr>
          <w:rFonts w:ascii="Times New Roman" w:hAnsi="Times New Roman"/>
          <w:b w:val="0"/>
          <w:i w:val="0"/>
          <w:color w:val="CC0000"/>
          <w:sz w:val="24"/>
        </w:rPr>
        <w:t>• Chỉ Hà Nội + lớp 10 — chưa đại diện toàn VN (cần lặp lại ở THCS, THPT lớp 11–12, vùng nông thôn, DTTS).</w:t>
      </w:r>
    </w:p>
    <w:p>
      <w:pPr>
        <w:jc w:val="both"/>
      </w:pPr>
      <w:r>
        <w:rPr>
          <w:rFonts w:ascii="Times New Roman" w:hAnsi="Times New Roman"/>
          <w:b w:val="0"/>
          <w:i w:val="0"/>
          <w:color w:val="CC0000"/>
          <w:sz w:val="24"/>
        </w:rPr>
        <w:t>• Giáo viên cung cấp — chưa so sánh với chuyên gia tâm lý (khác mô hình Sri Lanka De Silva 2024 nơi GV hiệu quả).</w:t>
      </w:r>
    </w:p>
    <w:p>
      <w:pPr>
        <w:jc w:val="both"/>
      </w:pPr>
      <w:r>
        <w:rPr>
          <w:rFonts w:ascii="Times New Roman" w:hAnsi="Times New Roman"/>
          <w:b w:val="0"/>
          <w:i w:val="0"/>
          <w:color w:val="CC0000"/>
          <w:sz w:val="24"/>
        </w:rPr>
        <w:t>• KHÔNG có nhóm active control — chỉ là usual curriculum, nên khó loại trừ hiệu ứng chú ý.</w:t>
      </w:r>
    </w:p>
    <w:p>
      <w:pPr>
        <w:pStyle w:val="Heading3"/>
      </w:pPr>
      <w:r>
        <w:rPr>
          <w:rFonts w:ascii="Times New Roman" w:hAnsi="Times New Roman"/>
          <w:color w:val="CC0000"/>
        </w:rPr>
        <w:t>1.1.4. Áp dụng cho đề cương Việt Nam</w:t>
      </w:r>
    </w:p>
    <w:p>
      <w:pPr>
        <w:jc w:val="both"/>
      </w:pPr>
      <w:r>
        <w:rPr>
          <w:rFonts w:ascii="Times New Roman" w:hAnsi="Times New Roman"/>
          <w:b w:val="0"/>
          <w:i w:val="0"/>
          <w:color w:val="CC0000"/>
          <w:sz w:val="24"/>
        </w:rPr>
        <w:t>Happy House cung cấp bài học quý cho thiết kế đề cương tiếp theo:</w:t>
      </w:r>
    </w:p>
    <w:p>
      <w:pPr>
        <w:jc w:val="both"/>
      </w:pPr>
      <w:r>
        <w:rPr>
          <w:rFonts w:ascii="Times New Roman" w:hAnsi="Times New Roman"/>
          <w:b w:val="0"/>
          <w:i w:val="0"/>
          <w:color w:val="CC0000"/>
          <w:sz w:val="24"/>
        </w:rPr>
        <w:t>(1) Mô hình RAP-A thích ứng văn hoá VN đã KHẢ THI — tiết kiệm chi phí phát triển nội dung mới, có thể xây dựng tiếp.</w:t>
      </w:r>
    </w:p>
    <w:p>
      <w:pPr>
        <w:jc w:val="both"/>
      </w:pPr>
      <w:r>
        <w:rPr>
          <w:rFonts w:ascii="Times New Roman" w:hAnsi="Times New Roman"/>
          <w:b w:val="0"/>
          <w:i w:val="0"/>
          <w:color w:val="CC0000"/>
          <w:sz w:val="24"/>
        </w:rPr>
        <w:t>(2) Cần BOOSTER SESSIONS ở 3, 6 tháng để duy trì hiệu quả — giải quyết vấn đề "fade-out" mà Happy House gặp phải.</w:t>
      </w:r>
    </w:p>
    <w:p>
      <w:pPr>
        <w:jc w:val="both"/>
      </w:pPr>
      <w:r>
        <w:rPr>
          <w:rFonts w:ascii="Times New Roman" w:hAnsi="Times New Roman"/>
          <w:b w:val="0"/>
          <w:i w:val="0"/>
          <w:color w:val="CC0000"/>
          <w:sz w:val="24"/>
        </w:rPr>
        <w:t>(3) Nên thử nghiệm mô hình TARGETED (HS có GAD-7 ≥ 8 hoặc DASS-Y lo âu ≥ 8) thay vì universal — có thể có hiệu ứng lớn hơn.</w:t>
      </w:r>
    </w:p>
    <w:p>
      <w:pPr>
        <w:jc w:val="both"/>
      </w:pPr>
      <w:r>
        <w:rPr>
          <w:rFonts w:ascii="Times New Roman" w:hAnsi="Times New Roman"/>
          <w:b w:val="0"/>
          <w:i w:val="0"/>
          <w:color w:val="CC0000"/>
          <w:sz w:val="24"/>
        </w:rPr>
        <w:t>(4) Đo đồng thời LO ÂU (GAD-7, DASS-Y, SIAS-17) + trầm cảm + coping self-efficacy — bao phủ cả giảm triệu chứng và tăng nguồn lực bảo vệ.</w:t>
      </w:r>
    </w:p>
    <w:p>
      <w:pPr>
        <w:jc w:val="both"/>
      </w:pPr>
      <w:r>
        <w:rPr>
          <w:rFonts w:ascii="Times New Roman" w:hAnsi="Times New Roman"/>
          <w:b w:val="0"/>
          <w:i w:val="0"/>
          <w:color w:val="CC0000"/>
          <w:sz w:val="24"/>
        </w:rPr>
        <w:t>(5) Mở rộng địa bàn ra ngoài Hà Nội (TPHCM, Đà Nẵng, vùng miền trung nông thôn) để tăng tính đại diện.</w:t>
      </w:r>
    </w:p>
    <w:p>
      <w:pPr>
        <w:jc w:val="both"/>
      </w:pPr>
      <w:r>
        <w:rPr>
          <w:rFonts w:ascii="Times New Roman" w:hAnsi="Times New Roman"/>
          <w:b/>
          <w:i w:val="0"/>
          <w:color w:val="CC0000"/>
          <w:sz w:val="24"/>
        </w:rPr>
        <w:t>Đánh giá: ⭐⭐⭐⭐ Cao. RCT VN đầu tiên, cluster thiết kế mạnh, mẫu lớn, tác giả Monash–QUT uy tín. Hạn chế: universal interventions với hiệu ứng nhỏ, không đo lo âu riêng.</w:t>
      </w:r>
    </w:p>
    <w:p>
      <w:pPr>
        <w:pStyle w:val="Heading2"/>
      </w:pPr>
      <w:r>
        <w:rPr>
          <w:rFonts w:ascii="Times New Roman" w:hAnsi="Times New Roman"/>
          <w:color w:val="000000"/>
        </w:rPr>
        <w:t>1.2. Trần Nguyễn Ngọc (2018) — Liệu pháp Thư giãn – Luyện tập cho RLLA tổng quát</w:t>
      </w:r>
    </w:p>
    <w:p>
      <w:pPr>
        <w:jc w:val="both"/>
      </w:pPr>
      <w:r>
        <w:rPr>
          <w:rFonts w:ascii="Times New Roman" w:hAnsi="Times New Roman"/>
          <w:b w:val="0"/>
          <w:i/>
          <w:sz w:val="24"/>
        </w:rPr>
        <w:t>(Giữ nguyên nội dung chi tiết từ v2 — xem bản v2 cho thông tin đầy đủ.)</w:t>
      </w:r>
    </w:p>
    <w:p>
      <w:pPr>
        <w:jc w:val="both"/>
      </w:pPr>
      <w:r>
        <w:rPr>
          <w:rFonts w:ascii="Times New Roman" w:hAnsi="Times New Roman"/>
          <w:b w:val="0"/>
          <w:i w:val="0"/>
          <w:sz w:val="24"/>
        </w:rPr>
        <w:t>Tóm tắt nhanh: Luận án TSYH ĐH Y Hà Nội, PGS.TS. Nguyễn Kim Việt hướng dẫn, 170 bệnh nhân RLLA tổng quát (F41.1) nội trú Viện SKTT Bệnh viện Bạch Mai. Can thiệp: Liệu pháp Thư giãn – Luyện tập 20 buổi/4 tuần. Thiết kế trước–sau (n=99 hoàn thành). Kết quả: HAM-A nặng giảm từ 45,5% (T0) xuống 11,1% (T4), p &lt; 0,0001. Đối tượng là NGƯỜI LỚN, không phải VTN — cần adaptation.</w:t>
      </w:r>
    </w:p>
    <w:p>
      <w:r>
        <w:br w:type="page"/>
      </w:r>
    </w:p>
    <w:p>
      <w:pPr>
        <w:pStyle w:val="Heading1"/>
      </w:pPr>
      <w:r>
        <w:rPr>
          <w:rFonts w:ascii="Times New Roman" w:hAnsi="Times New Roman"/>
          <w:color w:val="000000"/>
        </w:rPr>
        <w:t>PHẦN II — CHÂU Á (ngoài Việt Nam)</w:t>
      </w:r>
    </w:p>
    <w:p>
      <w:pPr>
        <w:pStyle w:val="Heading2"/>
      </w:pPr>
      <w:r>
        <w:rPr>
          <w:rFonts w:ascii="Times New Roman" w:hAnsi="Times New Roman"/>
          <w:color w:val="000000"/>
        </w:rPr>
        <w:t>2.1. Tổng quan nghiên cứu Châu Á (cập nhật v3)</w:t>
      </w:r>
    </w:p>
    <w:tbl>
      <w:tblPr>
        <w:tblStyle w:val="TableGrid"/>
        <w:tblW w:type="auto" w:w="0"/>
        <w:jc w:val="center"/>
        <w:tblLook w:firstColumn="1" w:firstRow="1" w:lastColumn="0" w:lastRow="0" w:noHBand="0" w:noVBand="1" w:val="04A0"/>
        <w:tblLayout w:type="fixed"/>
      </w:tblPr>
      <w:tblGrid>
        <w:gridCol w:w="453"/>
        <w:gridCol w:w="1814"/>
        <w:gridCol w:w="1020"/>
        <w:gridCol w:w="1417"/>
        <w:gridCol w:w="1417"/>
        <w:gridCol w:w="2835"/>
      </w:tblGrid>
      <w:tr>
        <w:tc>
          <w:tcPr>
            <w:tcW w:w="453" w:type="dxa"/>
            <w:shd w:fill="D9E2F3" w:val="clear"/>
          </w:tcPr>
          <w:p>
            <w:pPr>
              <w:jc w:val="center"/>
            </w:pPr>
            <w:r>
              <w:rPr>
                <w:rFonts w:ascii="Times New Roman" w:hAnsi="Times New Roman"/>
                <w:b/>
                <w:sz w:val="20"/>
              </w:rPr>
              <w:t>#</w:t>
            </w:r>
          </w:p>
        </w:tc>
        <w:tc>
          <w:tcPr>
            <w:tcW w:w="1814" w:type="dxa"/>
            <w:shd w:fill="D9E2F3" w:val="clear"/>
          </w:tcPr>
          <w:p>
            <w:pPr>
              <w:jc w:val="center"/>
            </w:pPr>
            <w:r>
              <w:rPr>
                <w:rFonts w:ascii="Times New Roman" w:hAnsi="Times New Roman"/>
                <w:b/>
                <w:sz w:val="20"/>
              </w:rPr>
              <w:t>Tác giả / Năm</w:t>
            </w:r>
          </w:p>
        </w:tc>
        <w:tc>
          <w:tcPr>
            <w:tcW w:w="1020" w:type="dxa"/>
            <w:shd w:fill="D9E2F3" w:val="clear"/>
          </w:tcPr>
          <w:p>
            <w:pPr>
              <w:jc w:val="center"/>
            </w:pPr>
            <w:r>
              <w:rPr>
                <w:rFonts w:ascii="Times New Roman" w:hAnsi="Times New Roman"/>
                <w:b/>
                <w:sz w:val="20"/>
              </w:rPr>
              <w:t>Quốc gia</w:t>
            </w:r>
          </w:p>
        </w:tc>
        <w:tc>
          <w:tcPr>
            <w:tcW w:w="1417" w:type="dxa"/>
            <w:shd w:fill="D9E2F3" w:val="clear"/>
          </w:tcPr>
          <w:p>
            <w:pPr>
              <w:jc w:val="center"/>
            </w:pPr>
            <w:r>
              <w:rPr>
                <w:rFonts w:ascii="Times New Roman" w:hAnsi="Times New Roman"/>
                <w:b/>
                <w:sz w:val="20"/>
              </w:rPr>
              <w:t>Loại NC</w:t>
            </w:r>
          </w:p>
        </w:tc>
        <w:tc>
          <w:tcPr>
            <w:tcW w:w="1417" w:type="dxa"/>
            <w:shd w:fill="D9E2F3" w:val="clear"/>
          </w:tcPr>
          <w:p>
            <w:pPr>
              <w:jc w:val="center"/>
            </w:pPr>
            <w:r>
              <w:rPr>
                <w:rFonts w:ascii="Times New Roman" w:hAnsi="Times New Roman"/>
                <w:b/>
                <w:sz w:val="20"/>
              </w:rPr>
              <w:t>Cỡ mẫu</w:t>
            </w:r>
          </w:p>
        </w:tc>
        <w:tc>
          <w:tcPr>
            <w:tcW w:w="2835"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41</w:t>
            </w:r>
          </w:p>
        </w:tc>
        <w:tc>
          <w:tcPr>
            <w:tcW w:w="1814" w:type="dxa"/>
          </w:tcPr>
          <w:p>
            <w:r>
              <w:rPr>
                <w:rFonts w:ascii="Times New Roman" w:hAnsi="Times New Roman"/>
                <w:sz w:val="20"/>
              </w:rPr>
              <w:t>Praptomojati &amp; Hartanto 2024</w:t>
            </w:r>
          </w:p>
        </w:tc>
        <w:tc>
          <w:tcPr>
            <w:tcW w:w="1020" w:type="dxa"/>
          </w:tcPr>
          <w:p>
            <w:r>
              <w:rPr>
                <w:rFonts w:ascii="Times New Roman" w:hAnsi="Times New Roman"/>
                <w:sz w:val="20"/>
              </w:rPr>
              <w:t>Tổng hợp ĐNA</w:t>
            </w:r>
          </w:p>
        </w:tc>
        <w:tc>
          <w:tcPr>
            <w:tcW w:w="1417" w:type="dxa"/>
          </w:tcPr>
          <w:p>
            <w:r>
              <w:rPr>
                <w:rFonts w:ascii="Times New Roman" w:hAnsi="Times New Roman"/>
                <w:sz w:val="20"/>
              </w:rPr>
              <w:t>SR 7 NC</w:t>
            </w:r>
          </w:p>
        </w:tc>
        <w:tc>
          <w:tcPr>
            <w:tcW w:w="1417" w:type="dxa"/>
          </w:tcPr>
          <w:p>
            <w:r>
              <w:rPr>
                <w:rFonts w:ascii="Times New Roman" w:hAnsi="Times New Roman"/>
                <w:sz w:val="20"/>
              </w:rPr>
              <w:t>Trẻ + VTN</w:t>
            </w:r>
          </w:p>
        </w:tc>
        <w:tc>
          <w:tcPr>
            <w:tcW w:w="2835" w:type="dxa"/>
          </w:tcPr>
          <w:p>
            <w:r>
              <w:rPr>
                <w:rFonts w:ascii="Times New Roman" w:hAnsi="Times New Roman"/>
                <w:sz w:val="20"/>
              </w:rPr>
              <w:t>CA-CBT thích ứng VH; 0/7 NC từ VN</w:t>
            </w:r>
          </w:p>
        </w:tc>
      </w:tr>
      <w:tr>
        <w:tc>
          <w:tcPr>
            <w:tcW w:w="453" w:type="dxa"/>
          </w:tcPr>
          <w:p>
            <w:r>
              <w:rPr>
                <w:rFonts w:ascii="Times New Roman" w:hAnsi="Times New Roman"/>
                <w:sz w:val="20"/>
              </w:rPr>
              <w:t>42</w:t>
            </w:r>
          </w:p>
        </w:tc>
        <w:tc>
          <w:tcPr>
            <w:tcW w:w="1814" w:type="dxa"/>
          </w:tcPr>
          <w:p>
            <w:r>
              <w:rPr>
                <w:rFonts w:ascii="Times New Roman" w:hAnsi="Times New Roman"/>
                <w:sz w:val="20"/>
              </w:rPr>
              <w:t>De Silva et al. 2024</w:t>
            </w:r>
          </w:p>
        </w:tc>
        <w:tc>
          <w:tcPr>
            <w:tcW w:w="1020" w:type="dxa"/>
          </w:tcPr>
          <w:p>
            <w:r>
              <w:rPr>
                <w:rFonts w:ascii="Times New Roman" w:hAnsi="Times New Roman"/>
                <w:sz w:val="20"/>
              </w:rPr>
              <w:t>Sri Lanka</w:t>
            </w:r>
          </w:p>
        </w:tc>
        <w:tc>
          <w:tcPr>
            <w:tcW w:w="1417" w:type="dxa"/>
          </w:tcPr>
          <w:p>
            <w:r>
              <w:rPr>
                <w:rFonts w:ascii="Times New Roman" w:hAnsi="Times New Roman"/>
                <w:sz w:val="20"/>
              </w:rPr>
              <w:t>Cluster RCT</w:t>
            </w:r>
          </w:p>
        </w:tc>
        <w:tc>
          <w:tcPr>
            <w:tcW w:w="1417" w:type="dxa"/>
          </w:tcPr>
          <w:p>
            <w:r>
              <w:rPr>
                <w:rFonts w:ascii="Times New Roman" w:hAnsi="Times New Roman"/>
                <w:sz w:val="20"/>
              </w:rPr>
              <w:t>720 HS lớp 9</w:t>
            </w:r>
          </w:p>
        </w:tc>
        <w:tc>
          <w:tcPr>
            <w:tcW w:w="2835" w:type="dxa"/>
          </w:tcPr>
          <w:p>
            <w:r>
              <w:rPr>
                <w:rFonts w:ascii="Times New Roman" w:hAnsi="Times New Roman"/>
                <w:sz w:val="20"/>
              </w:rPr>
              <w:t>CBT do GV; β = −0,096</w:t>
            </w:r>
          </w:p>
        </w:tc>
      </w:tr>
      <w:tr>
        <w:tc>
          <w:tcPr>
            <w:tcW w:w="453" w:type="dxa"/>
          </w:tcPr>
          <w:p>
            <w:r>
              <w:rPr>
                <w:rFonts w:ascii="Times New Roman" w:hAnsi="Times New Roman"/>
                <w:sz w:val="20"/>
              </w:rPr>
              <w:t>43</w:t>
            </w:r>
          </w:p>
        </w:tc>
        <w:tc>
          <w:tcPr>
            <w:tcW w:w="1814" w:type="dxa"/>
          </w:tcPr>
          <w:p>
            <w:r>
              <w:rPr>
                <w:rFonts w:ascii="Times New Roman" w:hAnsi="Times New Roman"/>
                <w:sz w:val="20"/>
              </w:rPr>
              <w:t>Xian, Zhang &amp; Jiang 2024</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1.547 VTN</w:t>
            </w:r>
          </w:p>
        </w:tc>
        <w:tc>
          <w:tcPr>
            <w:tcW w:w="2835" w:type="dxa"/>
          </w:tcPr>
          <w:p>
            <w:r>
              <w:rPr>
                <w:rFonts w:ascii="Times New Roman" w:hAnsi="Times New Roman"/>
                <w:sz w:val="20"/>
              </w:rPr>
              <w:t>iCBT SUCRA 71,2% hạng 1</w:t>
            </w:r>
          </w:p>
        </w:tc>
      </w:tr>
      <w:tr>
        <w:tc>
          <w:tcPr>
            <w:tcW w:w="453" w:type="dxa"/>
          </w:tcPr>
          <w:p>
            <w:r>
              <w:rPr>
                <w:rFonts w:ascii="Times New Roman" w:hAnsi="Times New Roman"/>
                <w:sz w:val="20"/>
              </w:rPr>
              <w:t>51</w:t>
            </w:r>
          </w:p>
        </w:tc>
        <w:tc>
          <w:tcPr>
            <w:tcW w:w="1814" w:type="dxa"/>
          </w:tcPr>
          <w:p>
            <w:r>
              <w:rPr>
                <w:rFonts w:ascii="Times New Roman" w:hAnsi="Times New Roman"/>
                <w:sz w:val="20"/>
              </w:rPr>
              <w:t>Sasaki et al. 2024</w:t>
            </w:r>
          </w:p>
        </w:tc>
        <w:tc>
          <w:tcPr>
            <w:tcW w:w="1020" w:type="dxa"/>
          </w:tcPr>
          <w:p>
            <w:r>
              <w:rPr>
                <w:rFonts w:ascii="Times New Roman" w:hAnsi="Times New Roman"/>
                <w:sz w:val="20"/>
              </w:rPr>
              <w:t>Nhật Bản</w:t>
            </w:r>
          </w:p>
        </w:tc>
        <w:tc>
          <w:tcPr>
            <w:tcW w:w="1417" w:type="dxa"/>
          </w:tcPr>
          <w:p>
            <w:r>
              <w:rPr>
                <w:rFonts w:ascii="Times New Roman" w:hAnsi="Times New Roman"/>
                <w:sz w:val="20"/>
              </w:rPr>
              <w:t>RCT đa trung tâm</w:t>
            </w:r>
          </w:p>
        </w:tc>
        <w:tc>
          <w:tcPr>
            <w:tcW w:w="1417" w:type="dxa"/>
          </w:tcPr>
          <w:p>
            <w:r>
              <w:rPr>
                <w:rFonts w:ascii="Times New Roman" w:hAnsi="Times New Roman"/>
                <w:sz w:val="20"/>
              </w:rPr>
              <w:t>77 HS-SV</w:t>
            </w:r>
          </w:p>
        </w:tc>
        <w:tc>
          <w:tcPr>
            <w:tcW w:w="2835" w:type="dxa"/>
          </w:tcPr>
          <w:p>
            <w:r>
              <w:rPr>
                <w:rFonts w:ascii="Times New Roman" w:hAnsi="Times New Roman"/>
                <w:sz w:val="20"/>
              </w:rPr>
              <w:t>iCBT subthreshold SAD; OR=4,97; UMIN000050064</w:t>
            </w:r>
          </w:p>
        </w:tc>
      </w:tr>
      <w:tr>
        <w:tc>
          <w:tcPr>
            <w:tcW w:w="453" w:type="dxa"/>
          </w:tcPr>
          <w:p>
            <w:r>
              <w:rPr>
                <w:rFonts w:ascii="Times New Roman" w:hAnsi="Times New Roman"/>
                <w:sz w:val="20"/>
              </w:rPr>
              <w:t>57</w:t>
            </w:r>
          </w:p>
        </w:tc>
        <w:tc>
          <w:tcPr>
            <w:tcW w:w="1814" w:type="dxa"/>
          </w:tcPr>
          <w:p>
            <w:r>
              <w:rPr>
                <w:rFonts w:ascii="Times New Roman" w:hAnsi="Times New Roman"/>
                <w:sz w:val="20"/>
              </w:rPr>
              <w:t>Qiaochu &amp; Wang 2025</w:t>
            </w:r>
          </w:p>
        </w:tc>
        <w:tc>
          <w:tcPr>
            <w:tcW w:w="1020" w:type="dxa"/>
          </w:tcPr>
          <w:p>
            <w:r>
              <w:rPr>
                <w:rFonts w:ascii="Times New Roman" w:hAnsi="Times New Roman"/>
                <w:sz w:val="20"/>
              </w:rPr>
              <w:t>Trung Quốc</w:t>
            </w:r>
          </w:p>
        </w:tc>
        <w:tc>
          <w:tcPr>
            <w:tcW w:w="1417" w:type="dxa"/>
          </w:tcPr>
          <w:p>
            <w:r>
              <w:rPr>
                <w:rFonts w:ascii="Times New Roman" w:hAnsi="Times New Roman"/>
                <w:sz w:val="20"/>
              </w:rPr>
              <w:t>SR 9 RCT</w:t>
            </w:r>
          </w:p>
        </w:tc>
        <w:tc>
          <w:tcPr>
            <w:tcW w:w="1417" w:type="dxa"/>
          </w:tcPr>
          <w:p>
            <w:r>
              <w:rPr>
                <w:rFonts w:ascii="Times New Roman" w:hAnsi="Times New Roman"/>
                <w:sz w:val="20"/>
              </w:rPr>
              <w:t>2.479</w:t>
            </w:r>
          </w:p>
        </w:tc>
        <w:tc>
          <w:tcPr>
            <w:tcW w:w="2835" w:type="dxa"/>
          </w:tcPr>
          <w:p>
            <w:r>
              <w:rPr>
                <w:rFonts w:ascii="Times New Roman" w:hAnsi="Times New Roman"/>
                <w:sz w:val="20"/>
              </w:rPr>
              <w:t>Mobile CBT: trầm cảm 7/8; lo âu 2/6</w:t>
            </w:r>
          </w:p>
        </w:tc>
      </w:tr>
      <w:tr>
        <w:tc>
          <w:tcPr>
            <w:tcW w:w="453" w:type="dxa"/>
          </w:tcPr>
          <w:p>
            <w:r>
              <w:rPr>
                <w:rFonts w:ascii="Times New Roman" w:hAnsi="Times New Roman"/>
                <w:sz w:val="20"/>
              </w:rPr>
              <w:t>58</w:t>
            </w:r>
          </w:p>
        </w:tc>
        <w:tc>
          <w:tcPr>
            <w:tcW w:w="1814" w:type="dxa"/>
          </w:tcPr>
          <w:p>
            <w:r>
              <w:rPr>
                <w:rFonts w:ascii="Times New Roman" w:hAnsi="Times New Roman"/>
                <w:sz w:val="20"/>
              </w:rPr>
              <w:t>Menon et al. 2025</w:t>
            </w:r>
          </w:p>
        </w:tc>
        <w:tc>
          <w:tcPr>
            <w:tcW w:w="1020" w:type="dxa"/>
          </w:tcPr>
          <w:p>
            <w:r>
              <w:rPr>
                <w:rFonts w:ascii="Times New Roman" w:hAnsi="Times New Roman"/>
                <w:sz w:val="20"/>
              </w:rPr>
              <w:t>LMIC ĐÁ-TBD</w:t>
            </w:r>
          </w:p>
        </w:tc>
        <w:tc>
          <w:tcPr>
            <w:tcW w:w="1417" w:type="dxa"/>
          </w:tcPr>
          <w:p>
            <w:r>
              <w:rPr>
                <w:rFonts w:ascii="Times New Roman" w:hAnsi="Times New Roman"/>
                <w:sz w:val="20"/>
              </w:rPr>
              <w:t>Scoping 69 NC</w:t>
            </w:r>
          </w:p>
        </w:tc>
        <w:tc>
          <w:tcPr>
            <w:tcW w:w="1417" w:type="dxa"/>
          </w:tcPr>
          <w:p>
            <w:r>
              <w:rPr>
                <w:rFonts w:ascii="Times New Roman" w:hAnsi="Times New Roman"/>
                <w:sz w:val="20"/>
              </w:rPr>
              <w:t>12 quốc gia</w:t>
            </w:r>
          </w:p>
        </w:tc>
        <w:tc>
          <w:tcPr>
            <w:tcW w:w="2835" w:type="dxa"/>
          </w:tcPr>
          <w:p>
            <w:r>
              <w:rPr>
                <w:rFonts w:ascii="Times New Roman" w:hAnsi="Times New Roman"/>
                <w:sz w:val="20"/>
              </w:rPr>
              <w:t>Thiếu cộng đồng/gia đình/dài hạn</w:t>
            </w:r>
          </w:p>
        </w:tc>
      </w:tr>
      <w:tr>
        <w:tc>
          <w:tcPr>
            <w:tcW w:w="453" w:type="dxa"/>
          </w:tcPr>
          <w:p>
            <w:r>
              <w:rPr>
                <w:rFonts w:ascii="Times New Roman" w:hAnsi="Times New Roman"/>
                <w:sz w:val="20"/>
              </w:rPr>
              <w:t>29</w:t>
            </w:r>
          </w:p>
        </w:tc>
        <w:tc>
          <w:tcPr>
            <w:tcW w:w="1814" w:type="dxa"/>
          </w:tcPr>
          <w:p>
            <w:r>
              <w:rPr>
                <w:rFonts w:ascii="Times New Roman" w:hAnsi="Times New Roman"/>
                <w:sz w:val="20"/>
              </w:rPr>
              <w:t>Li et al. 2025</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1.711</w:t>
            </w:r>
          </w:p>
        </w:tc>
        <w:tc>
          <w:tcPr>
            <w:tcW w:w="2835" w:type="dxa"/>
          </w:tcPr>
          <w:p>
            <w:r>
              <w:rPr>
                <w:rFonts w:ascii="Times New Roman" w:hAnsi="Times New Roman"/>
                <w:sz w:val="20"/>
              </w:rPr>
              <w:t>CBT SUCRA 0,66; PE 0,51</w:t>
            </w:r>
          </w:p>
        </w:tc>
      </w:tr>
    </w:tbl>
    <w:p>
      <w:pPr>
        <w:pStyle w:val="Heading3"/>
      </w:pPr>
      <w:r>
        <w:rPr>
          <w:rFonts w:ascii="Times New Roman" w:hAnsi="Times New Roman"/>
          <w:color w:val="CC0000"/>
        </w:rPr>
        <w:t>Bài mới tìm qua web (2025): MIXCS Japan</w:t>
      </w:r>
    </w:p>
    <w:p>
      <w:pPr>
        <w:jc w:val="both"/>
      </w:pPr>
      <w:r>
        <w:rPr>
          <w:rFonts w:ascii="Times New Roman" w:hAnsi="Times New Roman"/>
          <w:b w:val="0"/>
          <w:i w:val="0"/>
          <w:color w:val="CC0000"/>
          <w:sz w:val="24"/>
        </w:rPr>
        <w:t>Trial MIXCS Japan (Multi-, Inter-, and Cross-cultural Clinical Child Study) của nhóm nghiên cứu Nhật Bản — thử nghiệm so sánh CA-CBT (Culturally Adapted) vs PA-CBT (Programme-Adopted) cho rối loạn lo âu trẻ em Nhật Bản, đa trung tâm 3 tỉnh (Kyoto, Hyogo, Nagano), tuyển từ 01/2022 đến 03/2025. Thiết kế 3 nhánh: CA-CBT, PA-CBT, và psychological control. Giao thức: PMC10357790.</w:t>
      </w:r>
    </w:p>
    <w:p>
      <w:pPr>
        <w:jc w:val="both"/>
      </w:pPr>
      <w:r>
        <w:rPr>
          <w:rFonts w:ascii="Times New Roman" w:hAnsi="Times New Roman"/>
          <w:b w:val="0"/>
          <w:i w:val="0"/>
          <w:color w:val="CC0000"/>
          <w:sz w:val="24"/>
        </w:rPr>
        <w:t>Ý nghĩa cho VN: cung cấp mô hình mới cho việc thích ứng CBT cho trẻ em châu Á. Cần theo dõi kết quả khi công bố 2025-2026.</w:t>
      </w:r>
    </w:p>
    <w:p>
      <w:pPr>
        <w:pStyle w:val="Heading2"/>
      </w:pPr>
      <w:r>
        <w:rPr>
          <w:rFonts w:ascii="Times New Roman" w:hAnsi="Times New Roman"/>
          <w:color w:val="000000"/>
        </w:rPr>
        <w:t>2.2–2.8. Chi tiết các bài QT37–QT51 + Li 2025 BMC NMA</w:t>
      </w:r>
    </w:p>
    <w:p>
      <w:pPr>
        <w:jc w:val="both"/>
      </w:pPr>
      <w:r>
        <w:rPr>
          <w:rFonts w:ascii="Times New Roman" w:hAnsi="Times New Roman"/>
          <w:b w:val="0"/>
          <w:i/>
          <w:sz w:val="24"/>
        </w:rPr>
        <w:t>(Giữ nguyên nội dung chi tiết từ v2 — xem bản v2 cho thông tin đầy đủ về Praptomojati 2024, De Silva 2024, Xian 2024, Walder 2025 (thuộc phần III), Sasaki 2024, Qiaochu 2025, Menon 2025, Cai 2025 Resilience, Li 2025 BMC NMA.)</w:t>
      </w:r>
    </w:p>
    <w:p>
      <w:pPr>
        <w:jc w:val="both"/>
      </w:pPr>
      <w:r>
        <w:rPr>
          <w:rFonts w:ascii="Times New Roman" w:hAnsi="Times New Roman"/>
          <w:b/>
          <w:i w:val="0"/>
          <w:color w:val="CC0000"/>
          <w:sz w:val="24"/>
        </w:rPr>
        <w:t>SỬA LỖI V3:</w:t>
      </w:r>
    </w:p>
    <w:p>
      <w:pPr>
        <w:jc w:val="both"/>
      </w:pPr>
      <w:r>
        <w:rPr>
          <w:rFonts w:ascii="Times New Roman" w:hAnsi="Times New Roman"/>
          <w:b w:val="0"/>
          <w:i w:val="0"/>
          <w:color w:val="CC0000"/>
          <w:sz w:val="24"/>
        </w:rPr>
        <w:t>• QT44 Cai Resilience (không phải Cao): tác giả chính là Chenyi Cai, Southwest University Trùng Khánh. Tên đã được sửa trong tóm tắt QT44_Cai_Resilience_MA_2025.docx.</w:t>
      </w:r>
    </w:p>
    <w:p>
      <w:pPr>
        <w:jc w:val="both"/>
      </w:pPr>
      <w:r>
        <w:rPr>
          <w:rFonts w:ascii="Times New Roman" w:hAnsi="Times New Roman"/>
          <w:b w:val="0"/>
          <w:i w:val="0"/>
          <w:color w:val="CC0000"/>
          <w:sz w:val="24"/>
        </w:rPr>
        <w:t>• QT45 Sasaki: ID đăng ký thử nghiệm đúng là UMIN000050064 (không phải 000049768). Đã sửa.</w:t>
      </w:r>
    </w:p>
    <w:p>
      <w:pPr>
        <w:jc w:val="both"/>
      </w:pPr>
      <w:r>
        <w:rPr>
          <w:rFonts w:ascii="Times New Roman" w:hAnsi="Times New Roman"/>
          <w:b w:val="0"/>
          <w:i w:val="0"/>
          <w:color w:val="CC0000"/>
          <w:sz w:val="24"/>
        </w:rPr>
        <w:t>• QT46 Academic Stress SR: bổ sung tác giả Jagiello T, Belcher J, Neelakandan A, Boyd K, Wuthrich VM (2025). Tổng 31 nghiên cứu từ 13 quốc gia (không phải "34 trang" như v2 — 34 là số trang bài báo).</w:t>
      </w:r>
    </w:p>
    <w:p>
      <w:r>
        <w:br w:type="page"/>
      </w:r>
    </w:p>
    <w:p>
      <w:pPr>
        <w:pStyle w:val="Heading1"/>
      </w:pPr>
      <w:r>
        <w:rPr>
          <w:rFonts w:ascii="Times New Roman" w:hAnsi="Times New Roman"/>
          <w:color w:val="000000"/>
        </w:rPr>
        <w:t>PHẦN III — CHÂU ÂU – CHÂU ÚC – CHÂU MỸ</w:t>
      </w:r>
    </w:p>
    <w:p>
      <w:pPr>
        <w:pStyle w:val="Heading2"/>
      </w:pPr>
      <w:r>
        <w:rPr>
          <w:rFonts w:ascii="Times New Roman" w:hAnsi="Times New Roman"/>
          <w:color w:val="000000"/>
        </w:rPr>
        <w:t>3.1. Tổng quan các nghiên cứu Âu–Úc–Mỹ</w:t>
      </w:r>
    </w:p>
    <w:p>
      <w:pPr>
        <w:jc w:val="both"/>
      </w:pPr>
      <w:r>
        <w:rPr>
          <w:rFonts w:ascii="Times New Roman" w:hAnsi="Times New Roman"/>
          <w:b w:val="0"/>
          <w:i/>
          <w:sz w:val="24"/>
        </w:rPr>
        <w:t>(Các bài 28 Zugman AJP, 29 Li BMC, 44 Walder JMIR, 48 Brown &amp; Carter UK, 49 Bress JAMA, 50 Cai Frontiers, 56 Zhang Bayesian, CAMS Walkup NEJM — giữ nguyên từ v2.)</w:t>
      </w:r>
    </w:p>
    <w:p>
      <w:pPr>
        <w:pStyle w:val="Heading2"/>
      </w:pPr>
      <w:r>
        <w:rPr>
          <w:rFonts w:ascii="Times New Roman" w:hAnsi="Times New Roman"/>
          <w:color w:val="CC0000"/>
        </w:rPr>
        <w:t>3.2. BÀI MỚI V3 — CoolMinds ICBT + Stepped Care videoconferencing (2025)</w:t>
      </w:r>
    </w:p>
    <w:p>
      <w:pPr>
        <w:jc w:val="both"/>
      </w:pPr>
      <w:r>
        <w:rPr>
          <w:rFonts w:ascii="Times New Roman" w:hAnsi="Times New Roman"/>
          <w:b/>
          <w:i w:val="0"/>
          <w:color w:val="CC0000"/>
          <w:sz w:val="24"/>
        </w:rPr>
        <w:t>Phát hiện từ tìm kiếm web: 2 nghiên cứu mới về iCBT 2025 bổ sung quan trọng cho Phần III:</w:t>
      </w:r>
    </w:p>
    <w:p>
      <w:pPr>
        <w:jc w:val="both"/>
      </w:pPr>
      <w:r>
        <w:rPr>
          <w:rFonts w:ascii="Times New Roman" w:hAnsi="Times New Roman"/>
          <w:b/>
          <w:i w:val="0"/>
          <w:color w:val="CC0000"/>
          <w:sz w:val="24"/>
        </w:rPr>
        <w:t>(A) CoolMinds ICBT — Đan Mạch (Studsgaard et al. 2025)</w:t>
      </w:r>
    </w:p>
    <w:p>
      <w:pPr>
        <w:jc w:val="both"/>
      </w:pPr>
      <w:r>
        <w:rPr>
          <w:rFonts w:ascii="Times New Roman" w:hAnsi="Times New Roman"/>
          <w:b w:val="0"/>
          <w:i w:val="0"/>
          <w:color w:val="CC0000"/>
          <w:sz w:val="24"/>
        </w:rPr>
        <w:t>• Tiêu đề: "Developing an Internet-Based Cognitive Behavioral Therapy Intervention for Adolescents With Anxiety Disorders: Design, Usability, and Initial Evaluation of the CoolMinds Intervention"</w:t>
      </w:r>
    </w:p>
    <w:p>
      <w:pPr>
        <w:jc w:val="both"/>
      </w:pPr>
      <w:r>
        <w:rPr>
          <w:rFonts w:ascii="Times New Roman" w:hAnsi="Times New Roman"/>
          <w:b w:val="0"/>
          <w:i w:val="0"/>
          <w:color w:val="CC0000"/>
          <w:sz w:val="24"/>
        </w:rPr>
        <w:t>• Tạp chí: JMIR Formative Research (2025, vol. 9, e66966)</w:t>
      </w:r>
    </w:p>
    <w:p>
      <w:pPr>
        <w:jc w:val="both"/>
      </w:pPr>
      <w:r>
        <w:rPr>
          <w:rFonts w:ascii="Times New Roman" w:hAnsi="Times New Roman"/>
          <w:b w:val="0"/>
          <w:i w:val="0"/>
          <w:color w:val="CC0000"/>
          <w:sz w:val="24"/>
        </w:rPr>
        <w:t>• Link: https://pmc.ncbi.nlm.nih.gov/articles/PMC12015348/</w:t>
      </w:r>
    </w:p>
    <w:p>
      <w:pPr>
        <w:jc w:val="both"/>
      </w:pPr>
      <w:r>
        <w:rPr>
          <w:rFonts w:ascii="Times New Roman" w:hAnsi="Times New Roman"/>
          <w:b w:val="0"/>
          <w:i w:val="0"/>
          <w:color w:val="CC0000"/>
          <w:sz w:val="24"/>
        </w:rPr>
        <w:t>• Đối tượng: VTN 12-17 tuổi có rối loạn lo âu lâm sàng, Đan Mạch</w:t>
      </w:r>
    </w:p>
    <w:p>
      <w:pPr>
        <w:jc w:val="both"/>
      </w:pPr>
      <w:r>
        <w:rPr>
          <w:rFonts w:ascii="Times New Roman" w:hAnsi="Times New Roman"/>
          <w:b w:val="0"/>
          <w:i w:val="0"/>
          <w:color w:val="CC0000"/>
          <w:sz w:val="24"/>
        </w:rPr>
        <w:t>• Phương pháp: User-centered design 3 pha (identify needs → prototype → feasibility). ICBT dành cho VTN, dùng giao diện trực quan phù hợp lứa tuổi.</w:t>
      </w:r>
    </w:p>
    <w:p>
      <w:pPr>
        <w:jc w:val="both"/>
      </w:pPr>
      <w:r>
        <w:rPr>
          <w:rFonts w:ascii="Times New Roman" w:hAnsi="Times New Roman"/>
          <w:b w:val="0"/>
          <w:i w:val="0"/>
          <w:color w:val="CC0000"/>
          <w:sz w:val="24"/>
        </w:rPr>
        <w:t>• Ý nghĩa: mô hình phát triển app có người dùng cùng thiết kế (co-design) — phù hợp nguyên tắc Brown &amp; Carter 2025 về co-design. Bước tiếp theo là RCT feasibility (Lautrup et al. 2025, Scand J Cogn Behav Ther 2025).</w:t>
      </w:r>
    </w:p>
    <w:p>
      <w:pPr>
        <w:jc w:val="both"/>
      </w:pPr>
      <w:r>
        <w:rPr>
          <w:rFonts w:ascii="Times New Roman" w:hAnsi="Times New Roman"/>
          <w:b/>
          <w:i w:val="0"/>
          <w:color w:val="CC0000"/>
          <w:sz w:val="24"/>
        </w:rPr>
        <w:t>(B) Stepped Care ICBT với Videoconferencing — Úc (Baumgart et al. 2025)</w:t>
      </w:r>
    </w:p>
    <w:p>
      <w:pPr>
        <w:jc w:val="both"/>
      </w:pPr>
      <w:r>
        <w:rPr>
          <w:rFonts w:ascii="Times New Roman" w:hAnsi="Times New Roman"/>
          <w:b w:val="0"/>
          <w:i w:val="0"/>
          <w:color w:val="CC0000"/>
          <w:sz w:val="24"/>
        </w:rPr>
        <w:t>• Tiêu đề: "Integrating Videoconferencing Therapist Guidance Into Stepped Care Internet-Delivered Cognitive Behavioral Therapy for Child and Adolescent Anxiety: Noninferiority Randomized Controlled Trial"</w:t>
      </w:r>
    </w:p>
    <w:p>
      <w:pPr>
        <w:jc w:val="both"/>
      </w:pPr>
      <w:r>
        <w:rPr>
          <w:rFonts w:ascii="Times New Roman" w:hAnsi="Times New Roman"/>
          <w:b w:val="0"/>
          <w:i w:val="0"/>
          <w:color w:val="CC0000"/>
          <w:sz w:val="24"/>
        </w:rPr>
        <w:t>• Tạp chí: JMIR Mental Health (2025, vol. 12, e57405)</w:t>
      </w:r>
    </w:p>
    <w:p>
      <w:pPr>
        <w:jc w:val="both"/>
      </w:pPr>
      <w:r>
        <w:rPr>
          <w:rFonts w:ascii="Times New Roman" w:hAnsi="Times New Roman"/>
          <w:b w:val="0"/>
          <w:i w:val="0"/>
          <w:color w:val="CC0000"/>
          <w:sz w:val="24"/>
        </w:rPr>
        <w:t>• Link: https://mental.jmir.org/2025/1/e57405</w:t>
      </w:r>
    </w:p>
    <w:p>
      <w:pPr>
        <w:jc w:val="both"/>
      </w:pPr>
      <w:r>
        <w:rPr>
          <w:rFonts w:ascii="Times New Roman" w:hAnsi="Times New Roman"/>
          <w:b w:val="0"/>
          <w:i w:val="0"/>
          <w:color w:val="CC0000"/>
          <w:sz w:val="24"/>
        </w:rPr>
        <w:t>• Mẫu: 137 trẻ + VTN Úc 7-17 tuổi có rối loạn lo âu chính (primary anxiety disorder)</w:t>
      </w:r>
    </w:p>
    <w:p>
      <w:pPr>
        <w:jc w:val="both"/>
      </w:pPr>
      <w:r>
        <w:rPr>
          <w:rFonts w:ascii="Times New Roman" w:hAnsi="Times New Roman"/>
          <w:b w:val="0"/>
          <w:i w:val="0"/>
          <w:color w:val="CC0000"/>
          <w:sz w:val="24"/>
        </w:rPr>
        <w:t>• Thiết kế: RCT noninferiority so sánh (1) ICBT-SC[VC] — stepped care với videoconferencing cho step-up vs (2) ICBT-TG[VC] — full therapist delivery qua videoconference.</w:t>
      </w:r>
    </w:p>
    <w:p>
      <w:pPr>
        <w:jc w:val="both"/>
      </w:pPr>
      <w:r>
        <w:rPr>
          <w:rFonts w:ascii="Times New Roman" w:hAnsi="Times New Roman"/>
          <w:b w:val="0"/>
          <w:i w:val="0"/>
          <w:color w:val="CC0000"/>
          <w:sz w:val="24"/>
        </w:rPr>
        <w:t>• Kết quả: Stepped care đạt remission rate TƯƠNG ĐƯƠNG full therapist — noninferiority xác nhận. Chi phí stepped care THẤP HƠN vì chỉ step-up khi cần.</w:t>
      </w:r>
    </w:p>
    <w:p>
      <w:pPr>
        <w:jc w:val="both"/>
      </w:pPr>
      <w:r>
        <w:rPr>
          <w:rFonts w:ascii="Times New Roman" w:hAnsi="Times New Roman"/>
          <w:b w:val="0"/>
          <w:i w:val="0"/>
          <w:color w:val="CC0000"/>
          <w:sz w:val="24"/>
        </w:rPr>
        <w:t>• Ý nghĩa cho VN: mô hình stepped care có thể là giải pháp cho các cơ sở y tế thiếu chuyên gia tâm lý — bắt đầu với iCBT tự học, chỉ tăng bậc khi cần có therapist.</w:t>
      </w:r>
    </w:p>
    <w:p>
      <w:pPr>
        <w:pStyle w:val="Heading2"/>
      </w:pPr>
      <w:r>
        <w:rPr>
          <w:rFonts w:ascii="Times New Roman" w:hAnsi="Times New Roman"/>
          <w:color w:val="CC0000"/>
        </w:rPr>
        <w:t>3.3. BÀI MỚI V3 — School Nurse-Delivered Anxiety SR+MA 2025</w:t>
      </w:r>
    </w:p>
    <w:p>
      <w:pPr>
        <w:jc w:val="both"/>
      </w:pPr>
      <w:r>
        <w:rPr>
          <w:rFonts w:ascii="Times New Roman" w:hAnsi="Times New Roman"/>
          <w:b w:val="0"/>
          <w:i w:val="0"/>
          <w:color w:val="CC0000"/>
          <w:sz w:val="24"/>
        </w:rPr>
        <w:t>Tiêu đề: "School nurse–delivered anxiety interventions for adolescents: a systematic review and meta-analysis"</w:t>
      </w:r>
    </w:p>
    <w:p>
      <w:pPr>
        <w:jc w:val="both"/>
      </w:pPr>
      <w:r>
        <w:rPr>
          <w:rFonts w:ascii="Times New Roman" w:hAnsi="Times New Roman"/>
          <w:b w:val="0"/>
          <w:i w:val="0"/>
          <w:color w:val="CC0000"/>
          <w:sz w:val="24"/>
        </w:rPr>
        <w:t>Tác giả: nhóm NC tandfonline, xuất bản 18/06/2025</w:t>
      </w:r>
    </w:p>
    <w:p>
      <w:pPr>
        <w:jc w:val="both"/>
      </w:pPr>
      <w:r>
        <w:rPr>
          <w:rFonts w:ascii="Times New Roman" w:hAnsi="Times New Roman"/>
          <w:b w:val="0"/>
          <w:i w:val="0"/>
          <w:color w:val="CC0000"/>
          <w:sz w:val="24"/>
        </w:rPr>
        <w:t>Tạp chí: Cogent Psychology (hoặc tương đương Taylor &amp; Francis)</w:t>
      </w:r>
    </w:p>
    <w:p>
      <w:pPr>
        <w:jc w:val="both"/>
      </w:pPr>
      <w:r>
        <w:rPr>
          <w:rFonts w:ascii="Times New Roman" w:hAnsi="Times New Roman"/>
          <w:b w:val="0"/>
          <w:i w:val="0"/>
          <w:color w:val="CC0000"/>
          <w:sz w:val="24"/>
        </w:rPr>
        <w:t>Link: https://www.tandfonline.com/doi/full/10.1080/23311908.2025.2519529</w:t>
      </w:r>
    </w:p>
    <w:p>
      <w:pPr>
        <w:jc w:val="both"/>
      </w:pPr>
      <w:r>
        <w:rPr>
          <w:rFonts w:ascii="Times New Roman" w:hAnsi="Times New Roman"/>
          <w:b w:val="0"/>
          <w:i w:val="0"/>
          <w:color w:val="CC0000"/>
          <w:sz w:val="24"/>
        </w:rPr>
        <w:t>Phương pháp: SR + MA theo PRISMA 2020 + protocol đăng ký. Đối tượng VTN 12-18 tuổi. Can thiệp do y tá học đường cung cấp cho lo âu.</w:t>
      </w:r>
    </w:p>
    <w:p>
      <w:pPr>
        <w:jc w:val="both"/>
      </w:pPr>
      <w:r>
        <w:rPr>
          <w:rFonts w:ascii="Times New Roman" w:hAnsi="Times New Roman"/>
          <w:b w:val="0"/>
          <w:i w:val="0"/>
          <w:color w:val="CC0000"/>
          <w:sz w:val="24"/>
        </w:rPr>
        <w:t>Kết quả: Cohen d = 0,65 cho youth-rated anxiety outcomes (post-treatment). Kích thước hiệu ứng TRUNG BÌNH-LỚN. Bổ sung bằng chứng Imondi et al. 2025 (Child Anxiety Learning Modules — CALM — do y tá học đường cung cấp, đối tượng tiểu học, NASN School Nurse vol. 40, 10.1177/10598405251328369).</w:t>
      </w:r>
    </w:p>
    <w:p>
      <w:pPr>
        <w:jc w:val="both"/>
      </w:pPr>
      <w:r>
        <w:rPr>
          <w:rFonts w:ascii="Times New Roman" w:hAnsi="Times New Roman"/>
          <w:b w:val="0"/>
          <w:i w:val="0"/>
          <w:color w:val="CC0000"/>
          <w:sz w:val="24"/>
        </w:rPr>
        <w:t>Ý nghĩa cho VN: mô hình Y TÁ HỌC ĐƯỜNG là CẦU NỐI giữa mô hình Sri Lanka (GV) và mô hình UK (chuyên gia tâm lý). Việt Nam có hệ thống y tá học đường — có thể phát triển đào tạo đặc biệt cho nhóm này.</w:t>
      </w:r>
    </w:p>
    <w:p>
      <w:pPr>
        <w:pStyle w:val="Heading2"/>
      </w:pPr>
      <w:r>
        <w:rPr>
          <w:rFonts w:ascii="Times New Roman" w:hAnsi="Times New Roman"/>
          <w:color w:val="CC0000"/>
        </w:rPr>
        <w:t>3.4. BÀI MỚI V3 — VR Exposure Therapy SR+MA 2025</w:t>
      </w:r>
    </w:p>
    <w:p>
      <w:pPr>
        <w:jc w:val="both"/>
      </w:pPr>
      <w:r>
        <w:rPr>
          <w:rFonts w:ascii="Times New Roman" w:hAnsi="Times New Roman"/>
          <w:b w:val="0"/>
          <w:i w:val="0"/>
          <w:color w:val="CC0000"/>
          <w:sz w:val="24"/>
        </w:rPr>
        <w:t>Tiêu đề: "Effectiveness of virtual reality therapy in the treatment of anxiety disorders in adolescents and adults: a systematic review and meta-analysis of randomized controlled trials"</w:t>
      </w:r>
    </w:p>
    <w:p>
      <w:pPr>
        <w:jc w:val="both"/>
      </w:pPr>
      <w:r>
        <w:rPr>
          <w:rFonts w:ascii="Times New Roman" w:hAnsi="Times New Roman"/>
          <w:b w:val="0"/>
          <w:i w:val="0"/>
          <w:color w:val="CC0000"/>
          <w:sz w:val="24"/>
        </w:rPr>
        <w:t>Tạp chí: Frontiers in Psychiatry (2025, vol. 16, article 1553290)</w:t>
      </w:r>
    </w:p>
    <w:p>
      <w:pPr>
        <w:jc w:val="both"/>
      </w:pPr>
      <w:r>
        <w:rPr>
          <w:rFonts w:ascii="Times New Roman" w:hAnsi="Times New Roman"/>
          <w:b w:val="0"/>
          <w:i w:val="0"/>
          <w:color w:val="CC0000"/>
          <w:sz w:val="24"/>
        </w:rPr>
        <w:t>Link: https://pmc.ncbi.nlm.nih.gov/articles/PMC11904249/</w:t>
      </w:r>
    </w:p>
    <w:p>
      <w:pPr>
        <w:jc w:val="both"/>
      </w:pPr>
      <w:r>
        <w:rPr>
          <w:rFonts w:ascii="Times New Roman" w:hAnsi="Times New Roman"/>
          <w:b w:val="0"/>
          <w:i w:val="0"/>
          <w:color w:val="CC0000"/>
          <w:sz w:val="24"/>
        </w:rPr>
        <w:t>Mẫu: 33 RCT, n = 3.182 VTN và người lớn có rối loạn lo âu.</w:t>
      </w:r>
    </w:p>
    <w:p>
      <w:pPr>
        <w:jc w:val="both"/>
      </w:pPr>
      <w:r>
        <w:rPr>
          <w:rFonts w:ascii="Times New Roman" w:hAnsi="Times New Roman"/>
          <w:b w:val="0"/>
          <w:i w:val="0"/>
          <w:color w:val="CC0000"/>
          <w:sz w:val="24"/>
        </w:rPr>
        <w:t>Kết quả: VR therapy CẢI THIỆN ĐÁNG KỂ triệu chứng lo âu so với can thiệp thông thường. Đặc biệt hiệu quả cho SPECIFIC PHOBIAS (ám ảnh cụ thể) và SOCIAL ANXIETY. Hiệu lực TƯƠNG ĐƯƠNG với can thiệp truyền thống (face-to-face exposure).</w:t>
      </w:r>
    </w:p>
    <w:p>
      <w:pPr>
        <w:jc w:val="both"/>
      </w:pPr>
      <w:r>
        <w:rPr>
          <w:rFonts w:ascii="Times New Roman" w:hAnsi="Times New Roman"/>
          <w:b w:val="0"/>
          <w:i w:val="0"/>
          <w:color w:val="CC0000"/>
          <w:sz w:val="24"/>
        </w:rPr>
        <w:t>Bổ sung (VIRTUS trial 2025 BMC Psychiatry): VR exposure training cho VTN có lo âu xã hội — RCT, giao thức đã công bố. Pilot study (Zimmer et al. 2024, JMIR Mental Health 11:e56235) cho thấy VRET giảm state anxiety + social anxiety sau can thiệp.</w:t>
      </w:r>
    </w:p>
    <w:p>
      <w:pPr>
        <w:jc w:val="both"/>
      </w:pPr>
      <w:r>
        <w:rPr>
          <w:rFonts w:ascii="Times New Roman" w:hAnsi="Times New Roman"/>
          <w:b w:val="0"/>
          <w:i w:val="0"/>
          <w:color w:val="CC0000"/>
          <w:sz w:val="24"/>
        </w:rPr>
        <w:t>Ý nghĩa cho VN: VR còn tốn kém nhưng đang rẻ dần. Mô hình có tiềm năng cho can thiệp phơi nhiễm (exposure therapy) — đặc biệt cho phobias chuyên biệt và SAD. Có thể thử nghiệm ở các thành phố lớn.</w:t>
      </w:r>
    </w:p>
    <w:p>
      <w:pPr>
        <w:pStyle w:val="Heading2"/>
      </w:pPr>
      <w:r>
        <w:rPr>
          <w:rFonts w:ascii="Times New Roman" w:hAnsi="Times New Roman"/>
          <w:color w:val="CC0000"/>
        </w:rPr>
        <w:t>3.5. BÀI MỚI V3 — Physical Activity Umbrella Review 2025 (JAACAP)</w:t>
      </w:r>
    </w:p>
    <w:p>
      <w:pPr>
        <w:jc w:val="both"/>
      </w:pPr>
      <w:r>
        <w:rPr>
          <w:rFonts w:ascii="Times New Roman" w:hAnsi="Times New Roman"/>
          <w:b w:val="0"/>
          <w:i w:val="0"/>
          <w:color w:val="CC0000"/>
          <w:sz w:val="24"/>
        </w:rPr>
        <w:t>Tiêu đề: "Systematic Umbrella Review and Meta-Meta-Analysis: Effectiveness of Physical Activity in Improving Depression and Anxiety in Children and Adolescents"</w:t>
      </w:r>
    </w:p>
    <w:p>
      <w:pPr>
        <w:jc w:val="both"/>
      </w:pPr>
      <w:r>
        <w:rPr>
          <w:rFonts w:ascii="Times New Roman" w:hAnsi="Times New Roman"/>
          <w:b w:val="0"/>
          <w:i w:val="0"/>
          <w:color w:val="CC0000"/>
          <w:sz w:val="24"/>
        </w:rPr>
        <w:t>Tạp chí: Journal of the American Academy of Child &amp; Adolescent Psychiatry (JAACAP, 2025 — bằng chứng TỐT NHẤT về PE cho VTN đến nay)</w:t>
      </w:r>
    </w:p>
    <w:p>
      <w:pPr>
        <w:jc w:val="both"/>
      </w:pPr>
      <w:r>
        <w:rPr>
          <w:rFonts w:ascii="Times New Roman" w:hAnsi="Times New Roman"/>
          <w:b w:val="0"/>
          <w:i w:val="0"/>
          <w:color w:val="CC0000"/>
          <w:sz w:val="24"/>
        </w:rPr>
        <w:t>Link: https://www.jaacap.org/article/S0890-8567(25)00208-4/fulltext</w:t>
      </w:r>
    </w:p>
    <w:p>
      <w:pPr>
        <w:jc w:val="both"/>
      </w:pPr>
      <w:r>
        <w:rPr>
          <w:rFonts w:ascii="Times New Roman" w:hAnsi="Times New Roman"/>
          <w:b w:val="0"/>
          <w:i w:val="0"/>
          <w:color w:val="CC0000"/>
          <w:sz w:val="24"/>
        </w:rPr>
        <w:t>Mẫu: UMBRELLA REVIEW 21 systematic reviews, tổng 375 RCTs, n = 38.117 người tham gia (5–18 tuổi). Đây là tổng hợp LỚN NHẤT về physical activity cho SKTT trẻ em/VTN.</w:t>
      </w:r>
    </w:p>
    <w:p>
      <w:pPr>
        <w:jc w:val="both"/>
      </w:pPr>
      <w:r>
        <w:rPr>
          <w:rFonts w:ascii="Times New Roman" w:hAnsi="Times New Roman"/>
          <w:b w:val="0"/>
          <w:i w:val="0"/>
          <w:color w:val="CC0000"/>
          <w:sz w:val="24"/>
        </w:rPr>
        <w:t>Kết quả: SMD = −0,39 cho LO ÂU (hiệu ứng trung bình). Resistance exercise hiệu quả nhất cho lo âu. Aerobic exercise SMD = −0,32 cho lo âu. Interventions &lt; 12 tuần hiệu quả hơn cho trầm cảm.</w:t>
      </w:r>
    </w:p>
    <w:p>
      <w:pPr>
        <w:jc w:val="both"/>
      </w:pPr>
      <w:r>
        <w:rPr>
          <w:rFonts w:ascii="Times New Roman" w:hAnsi="Times New Roman"/>
          <w:b w:val="0"/>
          <w:i w:val="0"/>
          <w:color w:val="CC0000"/>
          <w:sz w:val="24"/>
        </w:rPr>
        <w:t>Ý nghĩa cho VN: BẰNG CHỨNG VÀNG cho PE — hiệu ứng trung bình và lớn hơn nhiều bài khác. Tích hợp PE vào chương trình thể dục học đường có sẵn. Ưu tiên resistance + aerobic. Thời lượng &lt; 12 tuần phù hợp semester học.</w:t>
      </w:r>
    </w:p>
    <w:p>
      <w:r>
        <w:br w:type="page"/>
      </w:r>
    </w:p>
    <w:p>
      <w:pPr>
        <w:pStyle w:val="Heading1"/>
      </w:pPr>
      <w:r>
        <w:rPr>
          <w:rFonts w:ascii="Times New Roman" w:hAnsi="Times New Roman"/>
          <w:color w:val="000000"/>
        </w:rPr>
        <w:t>PHẦN IV — TỔNG KẾT VÀ KHUYẾN NGHỊ CHO VIỆT NAM</w:t>
      </w:r>
    </w:p>
    <w:p>
      <w:pPr>
        <w:pStyle w:val="Heading2"/>
      </w:pPr>
      <w:r>
        <w:rPr>
          <w:rFonts w:ascii="Times New Roman" w:hAnsi="Times New Roman"/>
          <w:color w:val="000000"/>
        </w:rPr>
        <w:t>4.1. So sánh 3 vùng địa lý (cập nhật v3)</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Việt Nam</w:t>
            </w:r>
          </w:p>
        </w:tc>
        <w:tc>
          <w:tcPr>
            <w:tcW w:w="2268" w:type="dxa"/>
            <w:shd w:fill="D9E2F3" w:val="clear"/>
          </w:tcPr>
          <w:p>
            <w:pPr>
              <w:jc w:val="center"/>
            </w:pPr>
            <w:r>
              <w:rPr>
                <w:rFonts w:ascii="Times New Roman" w:hAnsi="Times New Roman"/>
                <w:b/>
                <w:sz w:val="20"/>
              </w:rPr>
              <w:t>Châu Á (ngoài VN)</w:t>
            </w:r>
          </w:p>
        </w:tc>
        <w:tc>
          <w:tcPr>
            <w:tcW w:w="2268" w:type="dxa"/>
            <w:shd w:fill="D9E2F3" w:val="clear"/>
          </w:tcPr>
          <w:p>
            <w:pPr>
              <w:jc w:val="center"/>
            </w:pPr>
            <w:r>
              <w:rPr>
                <w:rFonts w:ascii="Times New Roman" w:hAnsi="Times New Roman"/>
                <w:b/>
                <w:sz w:val="20"/>
              </w:rPr>
              <w:t>Châu Âu – Úc – Mỹ</w:t>
            </w:r>
          </w:p>
        </w:tc>
      </w:tr>
      <w:tr>
        <w:tc>
          <w:tcPr>
            <w:tcW w:w="1984" w:type="dxa"/>
          </w:tcPr>
          <w:p>
            <w:r>
              <w:rPr>
                <w:rFonts w:ascii="Times New Roman" w:hAnsi="Times New Roman"/>
                <w:sz w:val="20"/>
              </w:rPr>
              <w:t>Số bài can thiệp</w:t>
            </w:r>
          </w:p>
        </w:tc>
        <w:tc>
          <w:tcPr>
            <w:tcW w:w="2268" w:type="dxa"/>
          </w:tcPr>
          <w:p>
            <w:r>
              <w:rPr>
                <w:rFonts w:ascii="Times New Roman" w:hAnsi="Times New Roman"/>
                <w:sz w:val="20"/>
              </w:rPr>
              <w:t>2 *</w:t>
            </w:r>
          </w:p>
        </w:tc>
        <w:tc>
          <w:tcPr>
            <w:tcW w:w="2268" w:type="dxa"/>
          </w:tcPr>
          <w:p>
            <w:r>
              <w:rPr>
                <w:rFonts w:ascii="Times New Roman" w:hAnsi="Times New Roman"/>
                <w:sz w:val="20"/>
              </w:rPr>
              <w:t>8 (thêm MIXCS)</w:t>
            </w:r>
          </w:p>
        </w:tc>
        <w:tc>
          <w:tcPr>
            <w:tcW w:w="2268" w:type="dxa"/>
          </w:tcPr>
          <w:p>
            <w:r>
              <w:rPr>
                <w:rFonts w:ascii="Times New Roman" w:hAnsi="Times New Roman"/>
                <w:sz w:val="20"/>
              </w:rPr>
              <w:t>11 (thêm 4 bài mới v3)</w:t>
            </w:r>
          </w:p>
        </w:tc>
      </w:tr>
      <w:tr>
        <w:tc>
          <w:tcPr>
            <w:tcW w:w="1984" w:type="dxa"/>
          </w:tcPr>
          <w:p>
            <w:r>
              <w:rPr>
                <w:rFonts w:ascii="Times New Roman" w:hAnsi="Times New Roman"/>
                <w:sz w:val="20"/>
              </w:rPr>
              <w:t>Đối tượng VTN</w:t>
            </w:r>
          </w:p>
        </w:tc>
        <w:tc>
          <w:tcPr>
            <w:tcW w:w="2268" w:type="dxa"/>
          </w:tcPr>
          <w:p>
            <w:r>
              <w:rPr>
                <w:rFonts w:ascii="Times New Roman" w:hAnsi="Times New Roman"/>
                <w:sz w:val="20"/>
              </w:rPr>
              <w:t>CÓ (Happy House) + KHÔNG (TNNgoc)</w:t>
            </w:r>
          </w:p>
        </w:tc>
        <w:tc>
          <w:tcPr>
            <w:tcW w:w="2268" w:type="dxa"/>
          </w:tcPr>
          <w:p>
            <w:r>
              <w:rPr>
                <w:rFonts w:ascii="Times New Roman" w:hAnsi="Times New Roman"/>
                <w:sz w:val="20"/>
              </w:rPr>
              <w:t>CÓ</w:t>
            </w:r>
          </w:p>
        </w:tc>
        <w:tc>
          <w:tcPr>
            <w:tcW w:w="2268" w:type="dxa"/>
          </w:tcPr>
          <w:p>
            <w:r>
              <w:rPr>
                <w:rFonts w:ascii="Times New Roman" w:hAnsi="Times New Roman"/>
                <w:sz w:val="20"/>
              </w:rPr>
              <w:t>CÓ</w:t>
            </w:r>
          </w:p>
        </w:tc>
      </w:tr>
      <w:tr>
        <w:tc>
          <w:tcPr>
            <w:tcW w:w="1984" w:type="dxa"/>
          </w:tcPr>
          <w:p>
            <w:r>
              <w:rPr>
                <w:rFonts w:ascii="Times New Roman" w:hAnsi="Times New Roman"/>
                <w:sz w:val="20"/>
              </w:rPr>
              <w:t>Loại NC chủ yếu</w:t>
            </w:r>
          </w:p>
        </w:tc>
        <w:tc>
          <w:tcPr>
            <w:tcW w:w="2268" w:type="dxa"/>
          </w:tcPr>
          <w:p>
            <w:r>
              <w:rPr>
                <w:rFonts w:ascii="Times New Roman" w:hAnsi="Times New Roman"/>
                <w:sz w:val="20"/>
              </w:rPr>
              <w:t>RCT cluster (Happy House) + trước–sau</w:t>
            </w:r>
          </w:p>
        </w:tc>
        <w:tc>
          <w:tcPr>
            <w:tcW w:w="2268" w:type="dxa"/>
          </w:tcPr>
          <w:p>
            <w:r>
              <w:rPr>
                <w:rFonts w:ascii="Times New Roman" w:hAnsi="Times New Roman"/>
                <w:sz w:val="20"/>
              </w:rPr>
              <w:t>RCT + NMA + cluster RCT</w:t>
            </w:r>
          </w:p>
        </w:tc>
        <w:tc>
          <w:tcPr>
            <w:tcW w:w="2268" w:type="dxa"/>
          </w:tcPr>
          <w:p>
            <w:r>
              <w:rPr>
                <w:rFonts w:ascii="Times New Roman" w:hAnsi="Times New Roman"/>
                <w:sz w:val="20"/>
              </w:rPr>
              <w:t>RCT + MA + umbrella review</w:t>
            </w:r>
          </w:p>
        </w:tc>
      </w:tr>
      <w:tr>
        <w:tc>
          <w:tcPr>
            <w:tcW w:w="1984" w:type="dxa"/>
          </w:tcPr>
          <w:p>
            <w:r>
              <w:rPr>
                <w:rFonts w:ascii="Times New Roman" w:hAnsi="Times New Roman"/>
                <w:sz w:val="20"/>
              </w:rPr>
              <w:t>Phương pháp chính</w:t>
            </w:r>
          </w:p>
        </w:tc>
        <w:tc>
          <w:tcPr>
            <w:tcW w:w="2268" w:type="dxa"/>
          </w:tcPr>
          <w:p>
            <w:r>
              <w:rPr>
                <w:rFonts w:ascii="Times New Roman" w:hAnsi="Times New Roman"/>
                <w:sz w:val="20"/>
              </w:rPr>
              <w:t>RAP-A thích ứng + Thư giãn-Luyện tập</w:t>
            </w:r>
          </w:p>
        </w:tc>
        <w:tc>
          <w:tcPr>
            <w:tcW w:w="2268" w:type="dxa"/>
          </w:tcPr>
          <w:p>
            <w:r>
              <w:rPr>
                <w:rFonts w:ascii="Times New Roman" w:hAnsi="Times New Roman"/>
                <w:sz w:val="20"/>
              </w:rPr>
              <w:t>CBT + iCBT + Mobile + CA-CBT</w:t>
            </w:r>
          </w:p>
        </w:tc>
        <w:tc>
          <w:tcPr>
            <w:tcW w:w="2268" w:type="dxa"/>
          </w:tcPr>
          <w:p>
            <w:r>
              <w:rPr>
                <w:rFonts w:ascii="Times New Roman" w:hAnsi="Times New Roman"/>
                <w:sz w:val="20"/>
              </w:rPr>
              <w:t>CBT + iCBT + DMHI + VR + PE + school nurse</w:t>
            </w:r>
          </w:p>
        </w:tc>
      </w:tr>
      <w:tr>
        <w:tc>
          <w:tcPr>
            <w:tcW w:w="1984" w:type="dxa"/>
          </w:tcPr>
          <w:p>
            <w:r>
              <w:rPr>
                <w:rFonts w:ascii="Times New Roman" w:hAnsi="Times New Roman"/>
                <w:sz w:val="20"/>
              </w:rPr>
              <w:t>Bối cảnh</w:t>
            </w:r>
          </w:p>
        </w:tc>
        <w:tc>
          <w:tcPr>
            <w:tcW w:w="2268" w:type="dxa"/>
          </w:tcPr>
          <w:p>
            <w:r>
              <w:rPr>
                <w:rFonts w:ascii="Times New Roman" w:hAnsi="Times New Roman"/>
                <w:sz w:val="20"/>
              </w:rPr>
              <w:t>Trường THPT Hà Nội + BV Bạch Mai</w:t>
            </w:r>
          </w:p>
        </w:tc>
        <w:tc>
          <w:tcPr>
            <w:tcW w:w="2268" w:type="dxa"/>
          </w:tcPr>
          <w:p>
            <w:r>
              <w:rPr>
                <w:rFonts w:ascii="Times New Roman" w:hAnsi="Times New Roman"/>
                <w:sz w:val="20"/>
              </w:rPr>
              <w:t>Trường + BV + Online</w:t>
            </w:r>
          </w:p>
        </w:tc>
        <w:tc>
          <w:tcPr>
            <w:tcW w:w="2268" w:type="dxa"/>
          </w:tcPr>
          <w:p>
            <w:r>
              <w:rPr>
                <w:rFonts w:ascii="Times New Roman" w:hAnsi="Times New Roman"/>
                <w:sz w:val="20"/>
              </w:rPr>
              <w:t>Trường + Online + Phòng khám</w:t>
            </w:r>
          </w:p>
        </w:tc>
      </w:tr>
      <w:tr>
        <w:tc>
          <w:tcPr>
            <w:tcW w:w="1984" w:type="dxa"/>
          </w:tcPr>
          <w:p>
            <w:r>
              <w:rPr>
                <w:rFonts w:ascii="Times New Roman" w:hAnsi="Times New Roman"/>
                <w:sz w:val="20"/>
              </w:rPr>
              <w:t>Bằng chứng cao nhất</w:t>
            </w:r>
          </w:p>
        </w:tc>
        <w:tc>
          <w:tcPr>
            <w:tcW w:w="2268" w:type="dxa"/>
          </w:tcPr>
          <w:p>
            <w:r>
              <w:rPr>
                <w:rFonts w:ascii="Times New Roman" w:hAnsi="Times New Roman"/>
                <w:sz w:val="20"/>
              </w:rPr>
              <w:t>Trung bình (Happy House d=0,11)</w:t>
            </w:r>
          </w:p>
        </w:tc>
        <w:tc>
          <w:tcPr>
            <w:tcW w:w="2268" w:type="dxa"/>
          </w:tcPr>
          <w:p>
            <w:r>
              <w:rPr>
                <w:rFonts w:ascii="Times New Roman" w:hAnsi="Times New Roman"/>
                <w:sz w:val="20"/>
              </w:rPr>
              <w:t>Mạnh (Xian NMA)</w:t>
            </w:r>
          </w:p>
        </w:tc>
        <w:tc>
          <w:tcPr>
            <w:tcW w:w="2268" w:type="dxa"/>
          </w:tcPr>
          <w:p>
            <w:r>
              <w:rPr>
                <w:rFonts w:ascii="Times New Roman" w:hAnsi="Times New Roman"/>
                <w:sz w:val="20"/>
              </w:rPr>
              <w:t>Rất mạnh (CAMS NEJM, umbrella review JAACAP 2025)</w:t>
            </w:r>
          </w:p>
        </w:tc>
      </w:tr>
      <w:tr>
        <w:tc>
          <w:tcPr>
            <w:tcW w:w="1984" w:type="dxa"/>
          </w:tcPr>
          <w:p>
            <w:r>
              <w:rPr>
                <w:rFonts w:ascii="Times New Roman" w:hAnsi="Times New Roman"/>
                <w:sz w:val="20"/>
              </w:rPr>
              <w:t>Khoảng trống</w:t>
            </w:r>
          </w:p>
        </w:tc>
        <w:tc>
          <w:tcPr>
            <w:tcW w:w="2268" w:type="dxa"/>
          </w:tcPr>
          <w:p>
            <w:r>
              <w:rPr>
                <w:rFonts w:ascii="Times New Roman" w:hAnsi="Times New Roman"/>
                <w:sz w:val="20"/>
              </w:rPr>
              <w:t>CÒN LỚN — thiếu TARGETED + LO ÂU chuyên biệt</w:t>
            </w:r>
          </w:p>
        </w:tc>
        <w:tc>
          <w:tcPr>
            <w:tcW w:w="2268" w:type="dxa"/>
          </w:tcPr>
          <w:p>
            <w:r>
              <w:rPr>
                <w:rFonts w:ascii="Times New Roman" w:hAnsi="Times New Roman"/>
                <w:sz w:val="20"/>
              </w:rPr>
              <w:t>Vừa</w:t>
            </w:r>
          </w:p>
        </w:tc>
        <w:tc>
          <w:tcPr>
            <w:tcW w:w="2268" w:type="dxa"/>
          </w:tcPr>
          <w:p>
            <w:r>
              <w:rPr>
                <w:rFonts w:ascii="Times New Roman" w:hAnsi="Times New Roman"/>
                <w:sz w:val="20"/>
              </w:rPr>
              <w:t>Nhỏ</w:t>
            </w:r>
          </w:p>
        </w:tc>
      </w:tr>
    </w:tbl>
    <w:p>
      <w:pPr>
        <w:jc w:val="both"/>
      </w:pPr>
      <w:r>
        <w:rPr>
          <w:rFonts w:ascii="Times New Roman" w:hAnsi="Times New Roman"/>
          <w:b w:val="0"/>
          <w:i/>
          <w:color w:val="CC0000"/>
          <w:sz w:val="20"/>
        </w:rPr>
        <w:t>* Happy House (Tran et al. 2023) + Trần Nguyễn Ngọc 2018 (người lớn). Trong v2 đếm 1 — thiếu Happy House.</w:t>
      </w:r>
    </w:p>
    <w:p>
      <w:pPr>
        <w:pStyle w:val="Heading2"/>
      </w:pPr>
      <w:r>
        <w:rPr>
          <w:rFonts w:ascii="Times New Roman" w:hAnsi="Times New Roman"/>
          <w:color w:val="000000"/>
        </w:rPr>
        <w:t>4.2. Bảng xếp hạng 15 phương pháp can thiệp (cập nhật v3)</w:t>
      </w:r>
    </w:p>
    <w:tbl>
      <w:tblPr>
        <w:tblStyle w:val="TableGrid"/>
        <w:tblW w:type="auto" w:w="0"/>
        <w:jc w:val="center"/>
        <w:tblLook w:firstColumn="1" w:firstRow="1" w:lastColumn="0" w:lastRow="0" w:noHBand="0" w:noVBand="1" w:val="04A0"/>
        <w:tblLayout w:type="fixed"/>
      </w:tblPr>
      <w:tblGrid>
        <w:gridCol w:w="567"/>
        <w:gridCol w:w="2268"/>
        <w:gridCol w:w="2551"/>
        <w:gridCol w:w="1701"/>
        <w:gridCol w:w="1701"/>
      </w:tblGrid>
      <w:tr>
        <w:tc>
          <w:tcPr>
            <w:tcW w:w="567" w:type="dxa"/>
            <w:shd w:fill="D9E2F3" w:val="clear"/>
          </w:tcPr>
          <w:p>
            <w:pPr>
              <w:jc w:val="center"/>
            </w:pPr>
            <w:r>
              <w:rPr>
                <w:rFonts w:ascii="Times New Roman" w:hAnsi="Times New Roman"/>
                <w:b/>
                <w:sz w:val="20"/>
              </w:rPr>
              <w:t>Hạng</w:t>
            </w:r>
          </w:p>
        </w:tc>
        <w:tc>
          <w:tcPr>
            <w:tcW w:w="2268" w:type="dxa"/>
            <w:shd w:fill="D9E2F3" w:val="clear"/>
          </w:tcPr>
          <w:p>
            <w:pPr>
              <w:jc w:val="center"/>
            </w:pPr>
            <w:r>
              <w:rPr>
                <w:rFonts w:ascii="Times New Roman" w:hAnsi="Times New Roman"/>
                <w:b/>
                <w:sz w:val="20"/>
              </w:rPr>
              <w:t>Phương pháp</w:t>
            </w:r>
          </w:p>
        </w:tc>
        <w:tc>
          <w:tcPr>
            <w:tcW w:w="2551" w:type="dxa"/>
            <w:shd w:fill="D9E2F3" w:val="clear"/>
          </w:tcPr>
          <w:p>
            <w:pPr>
              <w:jc w:val="center"/>
            </w:pPr>
            <w:r>
              <w:rPr>
                <w:rFonts w:ascii="Times New Roman" w:hAnsi="Times New Roman"/>
                <w:b/>
                <w:sz w:val="20"/>
              </w:rPr>
              <w:t>Bằng chứng tốt nhất</w:t>
            </w:r>
          </w:p>
        </w:tc>
        <w:tc>
          <w:tcPr>
            <w:tcW w:w="1701" w:type="dxa"/>
            <w:shd w:fill="D9E2F3" w:val="clear"/>
          </w:tcPr>
          <w:p>
            <w:pPr>
              <w:jc w:val="center"/>
            </w:pPr>
            <w:r>
              <w:rPr>
                <w:rFonts w:ascii="Times New Roman" w:hAnsi="Times New Roman"/>
                <w:b/>
                <w:sz w:val="20"/>
              </w:rPr>
              <w:t>Phù hợp VN</w:t>
            </w:r>
          </w:p>
        </w:tc>
        <w:tc>
          <w:tcPr>
            <w:tcW w:w="1701" w:type="dxa"/>
            <w:shd w:fill="D9E2F3" w:val="clear"/>
          </w:tcPr>
          <w:p>
            <w:pPr>
              <w:jc w:val="center"/>
            </w:pPr>
            <w:r>
              <w:rPr>
                <w:rFonts w:ascii="Times New Roman" w:hAnsi="Times New Roman"/>
                <w:b/>
                <w:sz w:val="20"/>
              </w:rPr>
              <w:t>Khuyến nghị</w:t>
            </w:r>
          </w:p>
        </w:tc>
      </w:tr>
      <w:tr>
        <w:tc>
          <w:tcPr>
            <w:tcW w:w="567" w:type="dxa"/>
          </w:tcPr>
          <w:p>
            <w:r>
              <w:rPr>
                <w:rFonts w:ascii="Times New Roman" w:hAnsi="Times New Roman"/>
                <w:sz w:val="20"/>
              </w:rPr>
              <w:t>1</w:t>
            </w:r>
          </w:p>
        </w:tc>
        <w:tc>
          <w:tcPr>
            <w:tcW w:w="2268" w:type="dxa"/>
          </w:tcPr>
          <w:p>
            <w:r>
              <w:rPr>
                <w:rFonts w:ascii="Times New Roman" w:hAnsi="Times New Roman"/>
                <w:sz w:val="20"/>
              </w:rPr>
              <w:t>CBT + SSRI kết hợp</w:t>
            </w:r>
          </w:p>
        </w:tc>
        <w:tc>
          <w:tcPr>
            <w:tcW w:w="2551" w:type="dxa"/>
          </w:tcPr>
          <w:p>
            <w:r>
              <w:rPr>
                <w:rFonts w:ascii="Times New Roman" w:hAnsi="Times New Roman"/>
                <w:sz w:val="20"/>
              </w:rPr>
              <w:t>CAMS NEJM 80,7 %</w:t>
            </w:r>
          </w:p>
        </w:tc>
        <w:tc>
          <w:tcPr>
            <w:tcW w:w="1701" w:type="dxa"/>
          </w:tcPr>
          <w:p>
            <w:r>
              <w:rPr>
                <w:rFonts w:ascii="Times New Roman" w:hAnsi="Times New Roman"/>
                <w:sz w:val="20"/>
              </w:rPr>
              <w:t>Hạn chế chi phí</w:t>
            </w:r>
          </w:p>
        </w:tc>
        <w:tc>
          <w:tcPr>
            <w:tcW w:w="1701" w:type="dxa"/>
          </w:tcPr>
          <w:p>
            <w:r>
              <w:rPr>
                <w:rFonts w:ascii="Times New Roman" w:hAnsi="Times New Roman"/>
                <w:sz w:val="20"/>
              </w:rPr>
              <w:t>Chỉ ca nặng</w:t>
            </w:r>
          </w:p>
        </w:tc>
      </w:tr>
      <w:tr>
        <w:tc>
          <w:tcPr>
            <w:tcW w:w="567" w:type="dxa"/>
          </w:tcPr>
          <w:p>
            <w:r>
              <w:rPr>
                <w:rFonts w:ascii="Times New Roman" w:hAnsi="Times New Roman"/>
                <w:sz w:val="20"/>
              </w:rPr>
              <w:t>2</w:t>
            </w:r>
          </w:p>
        </w:tc>
        <w:tc>
          <w:tcPr>
            <w:tcW w:w="2268" w:type="dxa"/>
          </w:tcPr>
          <w:p>
            <w:r>
              <w:rPr>
                <w:rFonts w:ascii="Times New Roman" w:hAnsi="Times New Roman"/>
                <w:sz w:val="20"/>
              </w:rPr>
              <w:t>CBT cá nhân / nhóm</w:t>
            </w:r>
          </w:p>
        </w:tc>
        <w:tc>
          <w:tcPr>
            <w:tcW w:w="2551" w:type="dxa"/>
          </w:tcPr>
          <w:p>
            <w:r>
              <w:rPr>
                <w:rFonts w:ascii="Times New Roman" w:hAnsi="Times New Roman"/>
                <w:sz w:val="20"/>
              </w:rPr>
              <w:t>CAMS 59,7 %; Li 2025 SUCRA 0,66</w:t>
            </w:r>
          </w:p>
        </w:tc>
        <w:tc>
          <w:tcPr>
            <w:tcW w:w="1701" w:type="dxa"/>
          </w:tcPr>
          <w:p>
            <w:r>
              <w:rPr>
                <w:rFonts w:ascii="Times New Roman" w:hAnsi="Times New Roman"/>
                <w:sz w:val="20"/>
              </w:rPr>
              <w:t>CỐT LÕI</w:t>
            </w:r>
          </w:p>
        </w:tc>
        <w:tc>
          <w:tcPr>
            <w:tcW w:w="1701" w:type="dxa"/>
          </w:tcPr>
          <w:p>
            <w:r>
              <w:rPr>
                <w:rFonts w:ascii="Times New Roman" w:hAnsi="Times New Roman"/>
                <w:sz w:val="20"/>
              </w:rPr>
              <w:t>ĐẦU TƯ đào tạo</w:t>
            </w:r>
          </w:p>
        </w:tc>
      </w:tr>
      <w:tr>
        <w:tc>
          <w:tcPr>
            <w:tcW w:w="567" w:type="dxa"/>
          </w:tcPr>
          <w:p>
            <w:r>
              <w:rPr>
                <w:rFonts w:ascii="Times New Roman" w:hAnsi="Times New Roman"/>
                <w:sz w:val="20"/>
              </w:rPr>
              <w:t>3</w:t>
            </w:r>
          </w:p>
        </w:tc>
        <w:tc>
          <w:tcPr>
            <w:tcW w:w="2268" w:type="dxa"/>
          </w:tcPr>
          <w:p>
            <w:r>
              <w:rPr>
                <w:rFonts w:ascii="Times New Roman" w:hAnsi="Times New Roman"/>
                <w:sz w:val="20"/>
              </w:rPr>
              <w:t>iCBT cho SAD</w:t>
            </w:r>
          </w:p>
        </w:tc>
        <w:tc>
          <w:tcPr>
            <w:tcW w:w="2551" w:type="dxa"/>
          </w:tcPr>
          <w:p>
            <w:r>
              <w:rPr>
                <w:rFonts w:ascii="Times New Roman" w:hAnsi="Times New Roman"/>
                <w:sz w:val="20"/>
              </w:rPr>
              <w:t>Xian NMA hạng 1; Walder g = 0,878</w:t>
            </w:r>
          </w:p>
        </w:tc>
        <w:tc>
          <w:tcPr>
            <w:tcW w:w="1701" w:type="dxa"/>
          </w:tcPr>
          <w:p>
            <w:r>
              <w:rPr>
                <w:rFonts w:ascii="Times New Roman" w:hAnsi="Times New Roman"/>
                <w:sz w:val="20"/>
              </w:rPr>
              <w:t>CAO — số hoá</w:t>
            </w:r>
          </w:p>
        </w:tc>
        <w:tc>
          <w:tcPr>
            <w:tcW w:w="1701" w:type="dxa"/>
          </w:tcPr>
          <w:p>
            <w:r>
              <w:rPr>
                <w:rFonts w:ascii="Times New Roman" w:hAnsi="Times New Roman"/>
                <w:sz w:val="20"/>
              </w:rPr>
              <w:t>Phát triển app VN</w:t>
            </w:r>
          </w:p>
        </w:tc>
      </w:tr>
      <w:tr>
        <w:tc>
          <w:tcPr>
            <w:tcW w:w="567" w:type="dxa"/>
          </w:tcPr>
          <w:p>
            <w:r>
              <w:rPr>
                <w:rFonts w:ascii="Times New Roman" w:hAnsi="Times New Roman"/>
                <w:sz w:val="20"/>
              </w:rPr>
              <w:t>4</w:t>
            </w:r>
          </w:p>
        </w:tc>
        <w:tc>
          <w:tcPr>
            <w:tcW w:w="2268" w:type="dxa"/>
          </w:tcPr>
          <w:p>
            <w:r>
              <w:rPr>
                <w:rFonts w:ascii="Times New Roman" w:hAnsi="Times New Roman"/>
                <w:sz w:val="20"/>
              </w:rPr>
              <w:t>gCBT (CBT nhóm)</w:t>
            </w:r>
          </w:p>
        </w:tc>
        <w:tc>
          <w:tcPr>
            <w:tcW w:w="2551" w:type="dxa"/>
          </w:tcPr>
          <w:p>
            <w:r>
              <w:rPr>
                <w:rFonts w:ascii="Times New Roman" w:hAnsi="Times New Roman"/>
                <w:sz w:val="20"/>
              </w:rPr>
              <w:t>Xian NMA hạng 2 chức năng</w:t>
            </w:r>
          </w:p>
        </w:tc>
        <w:tc>
          <w:tcPr>
            <w:tcW w:w="1701" w:type="dxa"/>
          </w:tcPr>
          <w:p>
            <w:r>
              <w:rPr>
                <w:rFonts w:ascii="Times New Roman" w:hAnsi="Times New Roman"/>
                <w:sz w:val="20"/>
              </w:rPr>
              <w:t>CAO</w:t>
            </w:r>
          </w:p>
        </w:tc>
        <w:tc>
          <w:tcPr>
            <w:tcW w:w="1701" w:type="dxa"/>
          </w:tcPr>
          <w:p>
            <w:r>
              <w:rPr>
                <w:rFonts w:ascii="Times New Roman" w:hAnsi="Times New Roman"/>
                <w:sz w:val="20"/>
              </w:rPr>
              <w:t>Triển khai trường</w:t>
            </w:r>
          </w:p>
        </w:tc>
      </w:tr>
      <w:tr>
        <w:tc>
          <w:tcPr>
            <w:tcW w:w="567" w:type="dxa"/>
          </w:tcPr>
          <w:p>
            <w:r>
              <w:rPr>
                <w:rFonts w:ascii="Times New Roman" w:hAnsi="Times New Roman"/>
                <w:sz w:val="20"/>
              </w:rPr>
              <w:t>5</w:t>
            </w:r>
          </w:p>
        </w:tc>
        <w:tc>
          <w:tcPr>
            <w:tcW w:w="2268" w:type="dxa"/>
          </w:tcPr>
          <w:p>
            <w:r>
              <w:rPr>
                <w:rFonts w:ascii="Times New Roman" w:hAnsi="Times New Roman"/>
                <w:sz w:val="20"/>
              </w:rPr>
              <w:t>CBT do GV (school-based)</w:t>
            </w:r>
          </w:p>
        </w:tc>
        <w:tc>
          <w:tcPr>
            <w:tcW w:w="2551" w:type="dxa"/>
          </w:tcPr>
          <w:p>
            <w:r>
              <w:rPr>
                <w:rFonts w:ascii="Times New Roman" w:hAnsi="Times New Roman"/>
                <w:sz w:val="20"/>
              </w:rPr>
              <w:t>De Silva 2024 RCT 720 HS; Happy House VN</w:t>
            </w:r>
          </w:p>
        </w:tc>
        <w:tc>
          <w:tcPr>
            <w:tcW w:w="1701" w:type="dxa"/>
          </w:tcPr>
          <w:p>
            <w:r>
              <w:rPr>
                <w:rFonts w:ascii="Times New Roman" w:hAnsi="Times New Roman"/>
                <w:sz w:val="20"/>
              </w:rPr>
              <w:t>CỐT LÕI LMIC</w:t>
            </w:r>
          </w:p>
        </w:tc>
        <w:tc>
          <w:tcPr>
            <w:tcW w:w="1701" w:type="dxa"/>
          </w:tcPr>
          <w:p>
            <w:r>
              <w:rPr>
                <w:rFonts w:ascii="Times New Roman" w:hAnsi="Times New Roman"/>
                <w:sz w:val="20"/>
              </w:rPr>
              <w:t>Đào tạo GV + booster</w:t>
            </w:r>
          </w:p>
        </w:tc>
      </w:tr>
      <w:tr>
        <w:tc>
          <w:tcPr>
            <w:tcW w:w="567" w:type="dxa"/>
          </w:tcPr>
          <w:p>
            <w:r>
              <w:rPr>
                <w:rFonts w:ascii="Times New Roman" w:hAnsi="Times New Roman"/>
                <w:sz w:val="20"/>
              </w:rPr>
              <w:t>6</w:t>
            </w:r>
          </w:p>
        </w:tc>
        <w:tc>
          <w:tcPr>
            <w:tcW w:w="2268" w:type="dxa"/>
          </w:tcPr>
          <w:p>
            <w:r>
              <w:rPr>
                <w:rFonts w:ascii="Times New Roman" w:hAnsi="Times New Roman"/>
                <w:sz w:val="20"/>
              </w:rPr>
              <w:t>CA-CBT (thích ứng VH)</w:t>
            </w:r>
          </w:p>
        </w:tc>
        <w:tc>
          <w:tcPr>
            <w:tcW w:w="2551" w:type="dxa"/>
          </w:tcPr>
          <w:p>
            <w:r>
              <w:rPr>
                <w:rFonts w:ascii="Times New Roman" w:hAnsi="Times New Roman"/>
                <w:sz w:val="20"/>
              </w:rPr>
              <w:t>Praptomojati 2024 SR; MIXCS Japan 2025</w:t>
            </w:r>
          </w:p>
        </w:tc>
        <w:tc>
          <w:tcPr>
            <w:tcW w:w="1701" w:type="dxa"/>
          </w:tcPr>
          <w:p>
            <w:r>
              <w:rPr>
                <w:rFonts w:ascii="Times New Roman" w:hAnsi="Times New Roman"/>
                <w:sz w:val="20"/>
              </w:rPr>
              <w:t>CỰC CAO</w:t>
            </w:r>
          </w:p>
        </w:tc>
        <w:tc>
          <w:tcPr>
            <w:tcW w:w="1701" w:type="dxa"/>
          </w:tcPr>
          <w:p>
            <w:r>
              <w:rPr>
                <w:rFonts w:ascii="Times New Roman" w:hAnsi="Times New Roman"/>
                <w:sz w:val="20"/>
              </w:rPr>
              <w:t>Phát triển bản VN</w:t>
            </w:r>
          </w:p>
        </w:tc>
      </w:tr>
      <w:tr>
        <w:tc>
          <w:tcPr>
            <w:tcW w:w="567" w:type="dxa"/>
          </w:tcPr>
          <w:p>
            <w:r>
              <w:rPr>
                <w:rFonts w:ascii="Times New Roman" w:hAnsi="Times New Roman"/>
                <w:sz w:val="20"/>
              </w:rPr>
              <w:t>7</w:t>
            </w:r>
          </w:p>
        </w:tc>
        <w:tc>
          <w:tcPr>
            <w:tcW w:w="2268" w:type="dxa"/>
          </w:tcPr>
          <w:p>
            <w:r>
              <w:rPr>
                <w:rFonts w:ascii="Times New Roman" w:hAnsi="Times New Roman"/>
                <w:sz w:val="20"/>
              </w:rPr>
              <w:t>PE (hoạt động thể chất)</w:t>
            </w:r>
          </w:p>
        </w:tc>
        <w:tc>
          <w:tcPr>
            <w:tcW w:w="2551" w:type="dxa"/>
          </w:tcPr>
          <w:p>
            <w:r>
              <w:rPr>
                <w:rFonts w:ascii="Times New Roman" w:hAnsi="Times New Roman"/>
                <w:sz w:val="20"/>
              </w:rPr>
              <w:t>JAACAP 2025 umbrella SMD = −0,39</w:t>
            </w:r>
          </w:p>
        </w:tc>
        <w:tc>
          <w:tcPr>
            <w:tcW w:w="1701" w:type="dxa"/>
          </w:tcPr>
          <w:p>
            <w:r>
              <w:rPr>
                <w:rFonts w:ascii="Times New Roman" w:hAnsi="Times New Roman"/>
                <w:sz w:val="20"/>
              </w:rPr>
              <w:t>CAO — đã sẵn</w:t>
            </w:r>
          </w:p>
        </w:tc>
        <w:tc>
          <w:tcPr>
            <w:tcW w:w="1701" w:type="dxa"/>
          </w:tcPr>
          <w:p>
            <w:r>
              <w:rPr>
                <w:rFonts w:ascii="Times New Roman" w:hAnsi="Times New Roman"/>
                <w:sz w:val="20"/>
              </w:rPr>
              <w:t>Giờ thể dục + resistance</w:t>
            </w:r>
          </w:p>
        </w:tc>
      </w:tr>
      <w:tr>
        <w:tc>
          <w:tcPr>
            <w:tcW w:w="567" w:type="dxa"/>
          </w:tcPr>
          <w:p>
            <w:r>
              <w:rPr>
                <w:rFonts w:ascii="Times New Roman" w:hAnsi="Times New Roman"/>
                <w:sz w:val="20"/>
              </w:rPr>
              <w:t>8</w:t>
            </w:r>
          </w:p>
        </w:tc>
        <w:tc>
          <w:tcPr>
            <w:tcW w:w="2268" w:type="dxa"/>
          </w:tcPr>
          <w:p>
            <w:r>
              <w:rPr>
                <w:rFonts w:ascii="Times New Roman" w:hAnsi="Times New Roman"/>
                <w:sz w:val="20"/>
              </w:rPr>
              <w:t>Mobile App CBT (Maya-style)</w:t>
            </w:r>
          </w:p>
        </w:tc>
        <w:tc>
          <w:tcPr>
            <w:tcW w:w="2551" w:type="dxa"/>
          </w:tcPr>
          <w:p>
            <w:r>
              <w:rPr>
                <w:rFonts w:ascii="Times New Roman" w:hAnsi="Times New Roman"/>
                <w:sz w:val="20"/>
              </w:rPr>
              <w:t>Bress 2024 d = 1,04</w:t>
            </w:r>
          </w:p>
        </w:tc>
        <w:tc>
          <w:tcPr>
            <w:tcW w:w="1701" w:type="dxa"/>
          </w:tcPr>
          <w:p>
            <w:r>
              <w:rPr>
                <w:rFonts w:ascii="Times New Roman" w:hAnsi="Times New Roman"/>
                <w:sz w:val="20"/>
              </w:rPr>
              <w:t>CAO</w:t>
            </w:r>
          </w:p>
        </w:tc>
        <w:tc>
          <w:tcPr>
            <w:tcW w:w="1701" w:type="dxa"/>
          </w:tcPr>
          <w:p>
            <w:r>
              <w:rPr>
                <w:rFonts w:ascii="Times New Roman" w:hAnsi="Times New Roman"/>
                <w:sz w:val="20"/>
              </w:rPr>
              <w:t>RCT pilot</w:t>
            </w:r>
          </w:p>
        </w:tc>
      </w:tr>
      <w:tr>
        <w:tc>
          <w:tcPr>
            <w:tcW w:w="567" w:type="dxa"/>
          </w:tcPr>
          <w:p>
            <w:r>
              <w:rPr>
                <w:rFonts w:ascii="Times New Roman" w:hAnsi="Times New Roman"/>
                <w:sz w:val="20"/>
              </w:rPr>
              <w:t>9</w:t>
            </w:r>
          </w:p>
        </w:tc>
        <w:tc>
          <w:tcPr>
            <w:tcW w:w="2268" w:type="dxa"/>
          </w:tcPr>
          <w:p>
            <w:r>
              <w:rPr>
                <w:rFonts w:ascii="Times New Roman" w:hAnsi="Times New Roman"/>
                <w:sz w:val="20"/>
              </w:rPr>
              <w:t>Resilience training</w:t>
            </w:r>
          </w:p>
        </w:tc>
        <w:tc>
          <w:tcPr>
            <w:tcW w:w="2551" w:type="dxa"/>
          </w:tcPr>
          <w:p>
            <w:r>
              <w:rPr>
                <w:rFonts w:ascii="Times New Roman" w:hAnsi="Times New Roman"/>
                <w:sz w:val="20"/>
              </w:rPr>
              <w:t>Cai 2025 MA Frontiers</w:t>
            </w:r>
          </w:p>
        </w:tc>
        <w:tc>
          <w:tcPr>
            <w:tcW w:w="1701" w:type="dxa"/>
          </w:tcPr>
          <w:p>
            <w:r>
              <w:rPr>
                <w:rFonts w:ascii="Times New Roman" w:hAnsi="Times New Roman"/>
                <w:sz w:val="20"/>
              </w:rPr>
              <w:t>CAO</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10</w:t>
            </w:r>
          </w:p>
        </w:tc>
        <w:tc>
          <w:tcPr>
            <w:tcW w:w="2268" w:type="dxa"/>
          </w:tcPr>
          <w:p>
            <w:r>
              <w:rPr>
                <w:rFonts w:ascii="Times New Roman" w:hAnsi="Times New Roman"/>
                <w:sz w:val="20"/>
              </w:rPr>
              <w:t>Thư giãn – Luyện tập (Yoga)</w:t>
            </w:r>
          </w:p>
        </w:tc>
        <w:tc>
          <w:tcPr>
            <w:tcW w:w="2551" w:type="dxa"/>
          </w:tcPr>
          <w:p>
            <w:r>
              <w:rPr>
                <w:rFonts w:ascii="Times New Roman" w:hAnsi="Times New Roman"/>
                <w:sz w:val="20"/>
              </w:rPr>
              <w:t>Trần Nguyễn Ngọc 2018</w:t>
            </w:r>
          </w:p>
        </w:tc>
        <w:tc>
          <w:tcPr>
            <w:tcW w:w="1701" w:type="dxa"/>
          </w:tcPr>
          <w:p>
            <w:r>
              <w:rPr>
                <w:rFonts w:ascii="Times New Roman" w:hAnsi="Times New Roman"/>
                <w:sz w:val="20"/>
              </w:rPr>
              <w:t>CAO — đã thử VN</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11</w:t>
            </w:r>
          </w:p>
        </w:tc>
        <w:tc>
          <w:tcPr>
            <w:tcW w:w="2268" w:type="dxa"/>
          </w:tcPr>
          <w:p>
            <w:r>
              <w:rPr>
                <w:rFonts w:ascii="Times New Roman" w:hAnsi="Times New Roman"/>
                <w:sz w:val="20"/>
              </w:rPr>
              <w:t>Mobile CBT (trầm cảm)</w:t>
            </w:r>
          </w:p>
        </w:tc>
        <w:tc>
          <w:tcPr>
            <w:tcW w:w="2551" w:type="dxa"/>
          </w:tcPr>
          <w:p>
            <w:r>
              <w:rPr>
                <w:rFonts w:ascii="Times New Roman" w:hAnsi="Times New Roman"/>
                <w:sz w:val="20"/>
              </w:rPr>
              <w:t>Qiaochu 2025 87,5 %</w:t>
            </w:r>
          </w:p>
        </w:tc>
        <w:tc>
          <w:tcPr>
            <w:tcW w:w="1701" w:type="dxa"/>
          </w:tcPr>
          <w:p>
            <w:r>
              <w:rPr>
                <w:rFonts w:ascii="Times New Roman" w:hAnsi="Times New Roman"/>
                <w:sz w:val="20"/>
              </w:rPr>
              <w:t>CAO trầm cảm</w:t>
            </w:r>
          </w:p>
        </w:tc>
        <w:tc>
          <w:tcPr>
            <w:tcW w:w="1701" w:type="dxa"/>
          </w:tcPr>
          <w:p>
            <w:r>
              <w:rPr>
                <w:rFonts w:ascii="Times New Roman" w:hAnsi="Times New Roman"/>
                <w:sz w:val="20"/>
              </w:rPr>
              <w:t>Bắt đầu với trầm cảm</w:t>
            </w:r>
          </w:p>
        </w:tc>
      </w:tr>
      <w:tr>
        <w:tc>
          <w:tcPr>
            <w:tcW w:w="567" w:type="dxa"/>
          </w:tcPr>
          <w:p>
            <w:r>
              <w:rPr>
                <w:rFonts w:ascii="Times New Roman" w:hAnsi="Times New Roman"/>
                <w:sz w:val="20"/>
              </w:rPr>
              <w:t>12</w:t>
            </w:r>
          </w:p>
        </w:tc>
        <w:tc>
          <w:tcPr>
            <w:tcW w:w="2268" w:type="dxa"/>
          </w:tcPr>
          <w:p>
            <w:r>
              <w:rPr>
                <w:rFonts w:ascii="Times New Roman" w:hAnsi="Times New Roman"/>
                <w:sz w:val="20"/>
              </w:rPr>
              <w:t>VR exposure therapy (VRET)</w:t>
            </w:r>
          </w:p>
        </w:tc>
        <w:tc>
          <w:tcPr>
            <w:tcW w:w="2551" w:type="dxa"/>
          </w:tcPr>
          <w:p>
            <w:r>
              <w:rPr>
                <w:rFonts w:ascii="Times New Roman" w:hAnsi="Times New Roman"/>
                <w:sz w:val="20"/>
              </w:rPr>
              <w:t>Frontiers 2025 MA 33 RCT SMD đáng kể</w:t>
            </w:r>
          </w:p>
        </w:tc>
        <w:tc>
          <w:tcPr>
            <w:tcW w:w="1701" w:type="dxa"/>
          </w:tcPr>
          <w:p>
            <w:r>
              <w:rPr>
                <w:rFonts w:ascii="Times New Roman" w:hAnsi="Times New Roman"/>
                <w:sz w:val="20"/>
              </w:rPr>
              <w:t>TB — cần công nghệ</w:t>
            </w:r>
          </w:p>
        </w:tc>
        <w:tc>
          <w:tcPr>
            <w:tcW w:w="1701" w:type="dxa"/>
          </w:tcPr>
          <w:p>
            <w:r>
              <w:rPr>
                <w:rFonts w:ascii="Times New Roman" w:hAnsi="Times New Roman"/>
                <w:sz w:val="20"/>
              </w:rPr>
              <w:t>Thử nghiệm đô thị</w:t>
            </w:r>
          </w:p>
        </w:tc>
      </w:tr>
      <w:tr>
        <w:tc>
          <w:tcPr>
            <w:tcW w:w="567" w:type="dxa"/>
          </w:tcPr>
          <w:p>
            <w:r>
              <w:rPr>
                <w:rFonts w:ascii="Times New Roman" w:hAnsi="Times New Roman"/>
                <w:sz w:val="20"/>
              </w:rPr>
              <w:t>13</w:t>
            </w:r>
          </w:p>
        </w:tc>
        <w:tc>
          <w:tcPr>
            <w:tcW w:w="2268" w:type="dxa"/>
          </w:tcPr>
          <w:p>
            <w:r>
              <w:rPr>
                <w:rFonts w:ascii="Times New Roman" w:hAnsi="Times New Roman"/>
                <w:sz w:val="20"/>
              </w:rPr>
              <w:t>School nurse–delivered</w:t>
            </w:r>
          </w:p>
        </w:tc>
        <w:tc>
          <w:tcPr>
            <w:tcW w:w="2551" w:type="dxa"/>
          </w:tcPr>
          <w:p>
            <w:r>
              <w:rPr>
                <w:rFonts w:ascii="Times New Roman" w:hAnsi="Times New Roman"/>
                <w:sz w:val="20"/>
              </w:rPr>
              <w:t>Tandfonline SR+MA 2025 d = 0,65</w:t>
            </w:r>
          </w:p>
        </w:tc>
        <w:tc>
          <w:tcPr>
            <w:tcW w:w="1701" w:type="dxa"/>
          </w:tcPr>
          <w:p>
            <w:r>
              <w:rPr>
                <w:rFonts w:ascii="Times New Roman" w:hAnsi="Times New Roman"/>
                <w:sz w:val="20"/>
              </w:rPr>
              <w:t>CAO — hệ thống có sẵn</w:t>
            </w:r>
          </w:p>
        </w:tc>
        <w:tc>
          <w:tcPr>
            <w:tcW w:w="1701" w:type="dxa"/>
          </w:tcPr>
          <w:p>
            <w:r>
              <w:rPr>
                <w:rFonts w:ascii="Times New Roman" w:hAnsi="Times New Roman"/>
                <w:sz w:val="20"/>
              </w:rPr>
              <w:t>Đào tạo y tá học đường</w:t>
            </w:r>
          </w:p>
        </w:tc>
      </w:tr>
      <w:tr>
        <w:tc>
          <w:tcPr>
            <w:tcW w:w="567" w:type="dxa"/>
          </w:tcPr>
          <w:p>
            <w:r>
              <w:rPr>
                <w:rFonts w:ascii="Times New Roman" w:hAnsi="Times New Roman"/>
                <w:sz w:val="20"/>
              </w:rPr>
              <w:t>14</w:t>
            </w:r>
          </w:p>
        </w:tc>
        <w:tc>
          <w:tcPr>
            <w:tcW w:w="2268" w:type="dxa"/>
          </w:tcPr>
          <w:p>
            <w:r>
              <w:rPr>
                <w:rFonts w:ascii="Times New Roman" w:hAnsi="Times New Roman"/>
                <w:sz w:val="20"/>
              </w:rPr>
              <w:t>PLACES self-referral</w:t>
            </w:r>
          </w:p>
        </w:tc>
        <w:tc>
          <w:tcPr>
            <w:tcW w:w="2551" w:type="dxa"/>
          </w:tcPr>
          <w:p>
            <w:r>
              <w:rPr>
                <w:rFonts w:ascii="Times New Roman" w:hAnsi="Times New Roman"/>
                <w:sz w:val="20"/>
              </w:rPr>
              <w:t>Brown &amp; Carter 2025 BESST</w:t>
            </w:r>
          </w:p>
        </w:tc>
        <w:tc>
          <w:tcPr>
            <w:tcW w:w="1701" w:type="dxa"/>
          </w:tcPr>
          <w:p>
            <w:r>
              <w:rPr>
                <w:rFonts w:ascii="Times New Roman" w:hAnsi="Times New Roman"/>
                <w:sz w:val="20"/>
              </w:rPr>
              <w:t>TB</w:t>
            </w:r>
          </w:p>
        </w:tc>
        <w:tc>
          <w:tcPr>
            <w:tcW w:w="1701" w:type="dxa"/>
          </w:tcPr>
          <w:p>
            <w:r>
              <w:rPr>
                <w:rFonts w:ascii="Times New Roman" w:hAnsi="Times New Roman"/>
                <w:sz w:val="20"/>
              </w:rPr>
              <w:t>Thử pilot</w:t>
            </w:r>
          </w:p>
        </w:tc>
      </w:tr>
      <w:tr>
        <w:tc>
          <w:tcPr>
            <w:tcW w:w="567" w:type="dxa"/>
          </w:tcPr>
          <w:p>
            <w:r>
              <w:rPr>
                <w:rFonts w:ascii="Times New Roman" w:hAnsi="Times New Roman"/>
                <w:sz w:val="20"/>
              </w:rPr>
              <w:t>15</w:t>
            </w:r>
          </w:p>
        </w:tc>
        <w:tc>
          <w:tcPr>
            <w:tcW w:w="2268" w:type="dxa"/>
          </w:tcPr>
          <w:p>
            <w:r>
              <w:rPr>
                <w:rFonts w:ascii="Times New Roman" w:hAnsi="Times New Roman"/>
                <w:sz w:val="20"/>
              </w:rPr>
              <w:t>Mindfulness phổ quát</w:t>
            </w:r>
          </w:p>
        </w:tc>
        <w:tc>
          <w:tcPr>
            <w:tcW w:w="2551" w:type="dxa"/>
          </w:tcPr>
          <w:p>
            <w:r>
              <w:rPr>
                <w:rFonts w:ascii="Times New Roman" w:hAnsi="Times New Roman"/>
                <w:sz w:val="20"/>
              </w:rPr>
              <w:t>Brown 2025: 8.376 HS thất bại; Dunning re-analysis 2024</w:t>
            </w:r>
          </w:p>
        </w:tc>
        <w:tc>
          <w:tcPr>
            <w:tcW w:w="1701" w:type="dxa"/>
          </w:tcPr>
          <w:p>
            <w:r>
              <w:rPr>
                <w:rFonts w:ascii="Times New Roman" w:hAnsi="Times New Roman"/>
                <w:sz w:val="20"/>
              </w:rPr>
              <w:t>KHÔNG</w:t>
            </w:r>
          </w:p>
        </w:tc>
        <w:tc>
          <w:tcPr>
            <w:tcW w:w="1701" w:type="dxa"/>
          </w:tcPr>
          <w:p>
            <w:r>
              <w:rPr>
                <w:rFonts w:ascii="Times New Roman" w:hAnsi="Times New Roman"/>
                <w:sz w:val="20"/>
              </w:rPr>
              <w:t>TRÁNH universal</w:t>
            </w:r>
          </w:p>
        </w:tc>
      </w:tr>
    </w:tbl>
    <w:p>
      <w:pPr>
        <w:jc w:val="both"/>
      </w:pPr>
      <w:r>
        <w:rPr>
          <w:rFonts w:ascii="Times New Roman" w:hAnsi="Times New Roman"/>
          <w:b w:val="0"/>
          <w:i/>
          <w:color w:val="CC0000"/>
          <w:sz w:val="20"/>
        </w:rPr>
        <w:t>CẬP NHẬT V3: Thêm hạng 12 (VRET), 13 (school nurse), cập nhật hạng 5 với Happy House VN + booster, hạng 7 với umbrella review JAACAP, hạng 9 Cai (không Cao).</w:t>
      </w:r>
    </w:p>
    <w:p>
      <w:pPr>
        <w:pStyle w:val="Heading2"/>
      </w:pPr>
      <w:r>
        <w:rPr>
          <w:rFonts w:ascii="Times New Roman" w:hAnsi="Times New Roman"/>
          <w:color w:val="000000"/>
        </w:rPr>
        <w:t>4.3. Đề xuất thiết kế can thiệp 5 thành phần (cập nhật v3)</w:t>
      </w:r>
    </w:p>
    <w:p>
      <w:pPr>
        <w:jc w:val="both"/>
      </w:pPr>
      <w:r>
        <w:rPr>
          <w:rFonts w:ascii="Times New Roman" w:hAnsi="Times New Roman"/>
          <w:b w:val="0"/>
          <w:i/>
          <w:color w:val="CC0000"/>
          <w:sz w:val="24"/>
        </w:rPr>
        <w:t>CẬP NHẬT: bổ sung "booster sessions" (bài học từ Happy House fade-out ở 6 tháng) và mở rộng module giao tiếp gia đình với cấp độ cha mẹ.</w:t>
      </w:r>
    </w:p>
    <w:tbl>
      <w:tblPr>
        <w:tblStyle w:val="TableGrid"/>
        <w:tblW w:type="auto" w:w="0"/>
        <w:jc w:val="center"/>
        <w:tblLook w:firstColumn="1" w:firstRow="1" w:lastColumn="0" w:lastRow="0" w:noHBand="0" w:noVBand="1" w:val="04A0"/>
        <w:tblLayout w:type="fixed"/>
      </w:tblPr>
      <w:tblGrid>
        <w:gridCol w:w="1984"/>
        <w:gridCol w:w="1587"/>
        <w:gridCol w:w="3685"/>
        <w:gridCol w:w="1530"/>
      </w:tblGrid>
      <w:tr>
        <w:tc>
          <w:tcPr>
            <w:tcW w:w="1984" w:type="dxa"/>
            <w:shd w:fill="FFE4E1" w:val="clear"/>
          </w:tcPr>
          <w:p>
            <w:pPr>
              <w:jc w:val="center"/>
            </w:pPr>
            <w:r>
              <w:rPr>
                <w:rFonts w:ascii="Times New Roman" w:hAnsi="Times New Roman"/>
                <w:b/>
                <w:color w:val="CC0000"/>
                <w:sz w:val="20"/>
              </w:rPr>
              <w:t>Thành phần</w:t>
            </w:r>
          </w:p>
        </w:tc>
        <w:tc>
          <w:tcPr>
            <w:tcW w:w="1587" w:type="dxa"/>
            <w:shd w:fill="FFE4E1" w:val="clear"/>
          </w:tcPr>
          <w:p>
            <w:pPr>
              <w:jc w:val="center"/>
            </w:pPr>
            <w:r>
              <w:rPr>
                <w:rFonts w:ascii="Times New Roman" w:hAnsi="Times New Roman"/>
                <w:b/>
                <w:color w:val="CC0000"/>
                <w:sz w:val="20"/>
              </w:rPr>
              <w:t>Số buổi</w:t>
            </w:r>
          </w:p>
        </w:tc>
        <w:tc>
          <w:tcPr>
            <w:tcW w:w="3685" w:type="dxa"/>
            <w:shd w:fill="FFE4E1" w:val="clear"/>
          </w:tcPr>
          <w:p>
            <w:pPr>
              <w:jc w:val="center"/>
            </w:pPr>
            <w:r>
              <w:rPr>
                <w:rFonts w:ascii="Times New Roman" w:hAnsi="Times New Roman"/>
                <w:b/>
                <w:color w:val="CC0000"/>
                <w:sz w:val="20"/>
              </w:rPr>
              <w:t>Cơ sở bằng chứng (v3)</w:t>
            </w:r>
          </w:p>
        </w:tc>
        <w:tc>
          <w:tcPr>
            <w:tcW w:w="1530" w:type="dxa"/>
            <w:shd w:fill="FFE4E1" w:val="clear"/>
          </w:tcPr>
          <w:p>
            <w:pPr>
              <w:jc w:val="center"/>
            </w:pPr>
            <w:r>
              <w:rPr>
                <w:rFonts w:ascii="Times New Roman" w:hAnsi="Times New Roman"/>
                <w:b/>
                <w:color w:val="CC0000"/>
                <w:sz w:val="20"/>
              </w:rPr>
              <w:t>Áp dụng VN</w:t>
            </w:r>
          </w:p>
        </w:tc>
      </w:tr>
      <w:tr>
        <w:tc>
          <w:tcPr>
            <w:tcW w:w="1984" w:type="dxa"/>
          </w:tcPr>
          <w:p>
            <w:r>
              <w:rPr>
                <w:rFonts w:ascii="Times New Roman" w:hAnsi="Times New Roman"/>
                <w:color w:val="CC0000"/>
                <w:sz w:val="20"/>
              </w:rPr>
              <w:t>1. CBT NHÓM TARGETED</w:t>
            </w:r>
          </w:p>
        </w:tc>
        <w:tc>
          <w:tcPr>
            <w:tcW w:w="1587" w:type="dxa"/>
          </w:tcPr>
          <w:p>
            <w:r>
              <w:rPr>
                <w:rFonts w:ascii="Times New Roman" w:hAnsi="Times New Roman"/>
                <w:color w:val="CC0000"/>
                <w:sz w:val="20"/>
              </w:rPr>
              <w:t>8 buổi × 60 phút</w:t>
            </w:r>
          </w:p>
        </w:tc>
        <w:tc>
          <w:tcPr>
            <w:tcW w:w="3685" w:type="dxa"/>
          </w:tcPr>
          <w:p>
            <w:r>
              <w:rPr>
                <w:rFonts w:ascii="Times New Roman" w:hAnsi="Times New Roman"/>
                <w:color w:val="CC0000"/>
                <w:sz w:val="20"/>
              </w:rPr>
              <w:t>CAMS 2008; Li 2025; De Silva 2024; Happy House VN 2023</w:t>
            </w:r>
          </w:p>
        </w:tc>
        <w:tc>
          <w:tcPr>
            <w:tcW w:w="1530" w:type="dxa"/>
          </w:tcPr>
          <w:p>
            <w:r>
              <w:rPr>
                <w:rFonts w:ascii="Times New Roman" w:hAnsi="Times New Roman"/>
                <w:color w:val="CC0000"/>
                <w:sz w:val="20"/>
              </w:rPr>
              <w:t>Cốt lõi; TARGETED (khác Happy House universal)</w:t>
            </w:r>
          </w:p>
        </w:tc>
      </w:tr>
      <w:tr>
        <w:tc>
          <w:tcPr>
            <w:tcW w:w="1984" w:type="dxa"/>
          </w:tcPr>
          <w:p>
            <w:r>
              <w:rPr>
                <w:rFonts w:ascii="Times New Roman" w:hAnsi="Times New Roman"/>
                <w:color w:val="CC0000"/>
                <w:sz w:val="20"/>
              </w:rPr>
              <w:t>2. Module GIAO TIẾP GIA ĐÌNH</w:t>
            </w:r>
          </w:p>
        </w:tc>
        <w:tc>
          <w:tcPr>
            <w:tcW w:w="1587" w:type="dxa"/>
          </w:tcPr>
          <w:p>
            <w:r>
              <w:rPr>
                <w:rFonts w:ascii="Times New Roman" w:hAnsi="Times New Roman"/>
                <w:color w:val="CC0000"/>
                <w:sz w:val="20"/>
              </w:rPr>
              <w:t>4 buổi cha mẹ + HS</w:t>
            </w:r>
          </w:p>
        </w:tc>
        <w:tc>
          <w:tcPr>
            <w:tcW w:w="3685" w:type="dxa"/>
          </w:tcPr>
          <w:p>
            <w:r>
              <w:rPr>
                <w:rFonts w:ascii="Times New Roman" w:hAnsi="Times New Roman"/>
                <w:color w:val="CC0000"/>
                <w:sz w:val="20"/>
              </w:rPr>
              <w:t>Dong 2025 (OR=0,22); Menon 2025; Zapf 2024</w:t>
            </w:r>
          </w:p>
        </w:tc>
        <w:tc>
          <w:tcPr>
            <w:tcW w:w="1530" w:type="dxa"/>
          </w:tcPr>
          <w:p>
            <w:r>
              <w:rPr>
                <w:rFonts w:ascii="Times New Roman" w:hAnsi="Times New Roman"/>
                <w:color w:val="CC0000"/>
                <w:sz w:val="20"/>
              </w:rPr>
              <w:t>Module MỚI: kỹ năng "tâm sự"</w:t>
            </w:r>
          </w:p>
        </w:tc>
      </w:tr>
      <w:tr>
        <w:tc>
          <w:tcPr>
            <w:tcW w:w="1984" w:type="dxa"/>
          </w:tcPr>
          <w:p>
            <w:r>
              <w:rPr>
                <w:rFonts w:ascii="Times New Roman" w:hAnsi="Times New Roman"/>
                <w:color w:val="CC0000"/>
                <w:sz w:val="20"/>
              </w:rPr>
              <w:t>3. Module RESILIENCE</w:t>
            </w:r>
          </w:p>
        </w:tc>
        <w:tc>
          <w:tcPr>
            <w:tcW w:w="1587" w:type="dxa"/>
          </w:tcPr>
          <w:p>
            <w:r>
              <w:rPr>
                <w:rFonts w:ascii="Times New Roman" w:hAnsi="Times New Roman"/>
                <w:color w:val="CC0000"/>
                <w:sz w:val="20"/>
              </w:rPr>
              <w:t>3 buổi</w:t>
            </w:r>
          </w:p>
        </w:tc>
        <w:tc>
          <w:tcPr>
            <w:tcW w:w="3685" w:type="dxa"/>
          </w:tcPr>
          <w:p>
            <w:r>
              <w:rPr>
                <w:rFonts w:ascii="Times New Roman" w:hAnsi="Times New Roman"/>
                <w:color w:val="CC0000"/>
                <w:sz w:val="20"/>
              </w:rPr>
              <w:t>Cai 2025; Trần Thảo Vi 2025 (lạc quan)</w:t>
            </w:r>
          </w:p>
        </w:tc>
        <w:tc>
          <w:tcPr>
            <w:tcW w:w="1530" w:type="dxa"/>
          </w:tcPr>
          <w:p>
            <w:r>
              <w:rPr>
                <w:rFonts w:ascii="Times New Roman" w:hAnsi="Times New Roman"/>
                <w:color w:val="CC0000"/>
                <w:sz w:val="20"/>
              </w:rPr>
              <w:t>Lạc quan, kết nối XH</w:t>
            </w:r>
          </w:p>
        </w:tc>
      </w:tr>
      <w:tr>
        <w:tc>
          <w:tcPr>
            <w:tcW w:w="1984" w:type="dxa"/>
          </w:tcPr>
          <w:p>
            <w:r>
              <w:rPr>
                <w:rFonts w:ascii="Times New Roman" w:hAnsi="Times New Roman"/>
                <w:color w:val="CC0000"/>
                <w:sz w:val="20"/>
              </w:rPr>
              <w:t>4. PE + Thư giãn – Thở</w:t>
            </w:r>
          </w:p>
        </w:tc>
        <w:tc>
          <w:tcPr>
            <w:tcW w:w="1587" w:type="dxa"/>
          </w:tcPr>
          <w:p>
            <w:r>
              <w:rPr>
                <w:rFonts w:ascii="Times New Roman" w:hAnsi="Times New Roman"/>
                <w:color w:val="CC0000"/>
                <w:sz w:val="20"/>
              </w:rPr>
              <w:t>8 buổi tích hợp thể dục</w:t>
            </w:r>
          </w:p>
        </w:tc>
        <w:tc>
          <w:tcPr>
            <w:tcW w:w="3685" w:type="dxa"/>
          </w:tcPr>
          <w:p>
            <w:r>
              <w:rPr>
                <w:rFonts w:ascii="Times New Roman" w:hAnsi="Times New Roman"/>
                <w:color w:val="CC0000"/>
                <w:sz w:val="20"/>
              </w:rPr>
              <w:t>JAACAP umbrella 2025 (SMD=−0,39); Trần Nguyễn Ngọc 2018</w:t>
            </w:r>
          </w:p>
        </w:tc>
        <w:tc>
          <w:tcPr>
            <w:tcW w:w="1530" w:type="dxa"/>
          </w:tcPr>
          <w:p>
            <w:r>
              <w:rPr>
                <w:rFonts w:ascii="Times New Roman" w:hAnsi="Times New Roman"/>
                <w:color w:val="CC0000"/>
                <w:sz w:val="20"/>
              </w:rPr>
              <w:t>Resistance + aerobic &lt; 12 tuần</w:t>
            </w:r>
          </w:p>
        </w:tc>
      </w:tr>
      <w:tr>
        <w:tc>
          <w:tcPr>
            <w:tcW w:w="1984" w:type="dxa"/>
          </w:tcPr>
          <w:p>
            <w:r>
              <w:rPr>
                <w:rFonts w:ascii="Times New Roman" w:hAnsi="Times New Roman"/>
                <w:color w:val="CC0000"/>
                <w:sz w:val="20"/>
              </w:rPr>
              <w:t>5. App iCBT tiếng Việt</w:t>
            </w:r>
          </w:p>
        </w:tc>
        <w:tc>
          <w:tcPr>
            <w:tcW w:w="1587" w:type="dxa"/>
          </w:tcPr>
          <w:p>
            <w:r>
              <w:rPr>
                <w:rFonts w:ascii="Times New Roman" w:hAnsi="Times New Roman"/>
                <w:color w:val="CC0000"/>
                <w:sz w:val="20"/>
              </w:rPr>
              <w:t>Suốt 12 tuần + videoconf hỗ trợ</w:t>
            </w:r>
          </w:p>
        </w:tc>
        <w:tc>
          <w:tcPr>
            <w:tcW w:w="3685" w:type="dxa"/>
          </w:tcPr>
          <w:p>
            <w:r>
              <w:rPr>
                <w:rFonts w:ascii="Times New Roman" w:hAnsi="Times New Roman"/>
                <w:color w:val="CC0000"/>
                <w:sz w:val="20"/>
              </w:rPr>
              <w:t>Walder 2025 g=0,878; Sasaki 2024; CoolMinds 2025; Baumgart 2025 stepped care</w:t>
            </w:r>
          </w:p>
        </w:tc>
        <w:tc>
          <w:tcPr>
            <w:tcW w:w="1530" w:type="dxa"/>
          </w:tcPr>
          <w:p>
            <w:r>
              <w:rPr>
                <w:rFonts w:ascii="Times New Roman" w:hAnsi="Times New Roman"/>
                <w:color w:val="CC0000"/>
                <w:sz w:val="20"/>
              </w:rPr>
              <w:t>Stepped care: iCBT tự học → video call khi cần</w:t>
            </w:r>
          </w:p>
        </w:tc>
      </w:tr>
      <w:tr>
        <w:tc>
          <w:tcPr>
            <w:tcW w:w="1984" w:type="dxa"/>
          </w:tcPr>
          <w:p>
            <w:r>
              <w:rPr>
                <w:rFonts w:ascii="Times New Roman" w:hAnsi="Times New Roman"/>
                <w:color w:val="CC0000"/>
                <w:sz w:val="20"/>
              </w:rPr>
              <w:t>BOOSTER</w:t>
            </w:r>
          </w:p>
        </w:tc>
        <w:tc>
          <w:tcPr>
            <w:tcW w:w="1587" w:type="dxa"/>
          </w:tcPr>
          <w:p>
            <w:r>
              <w:rPr>
                <w:rFonts w:ascii="Times New Roman" w:hAnsi="Times New Roman"/>
                <w:color w:val="CC0000"/>
                <w:sz w:val="20"/>
              </w:rPr>
              <w:t>2 buổi ở 3 và 6 tháng</w:t>
            </w:r>
          </w:p>
        </w:tc>
        <w:tc>
          <w:tcPr>
            <w:tcW w:w="3685" w:type="dxa"/>
          </w:tcPr>
          <w:p>
            <w:r>
              <w:rPr>
                <w:rFonts w:ascii="Times New Roman" w:hAnsi="Times New Roman"/>
                <w:color w:val="CC0000"/>
                <w:sz w:val="20"/>
              </w:rPr>
              <w:t>Happy House 2023 fade-out</w:t>
            </w:r>
          </w:p>
        </w:tc>
        <w:tc>
          <w:tcPr>
            <w:tcW w:w="1530" w:type="dxa"/>
          </w:tcPr>
          <w:p>
            <w:r>
              <w:rPr>
                <w:rFonts w:ascii="Times New Roman" w:hAnsi="Times New Roman"/>
                <w:color w:val="CC0000"/>
                <w:sz w:val="20"/>
              </w:rPr>
              <w:t>Tránh mất hiệu ứng dài hạn</w:t>
            </w:r>
          </w:p>
        </w:tc>
      </w:tr>
    </w:tbl>
    <w:p>
      <w:pPr>
        <w:pStyle w:val="Heading2"/>
      </w:pPr>
      <w:r>
        <w:rPr>
          <w:rFonts w:ascii="Times New Roman" w:hAnsi="Times New Roman"/>
          <w:color w:val="000000"/>
        </w:rPr>
        <w:t>4.4. Năm khoảng trống nghiên cứu tại Việt Nam (cập nhật v3)</w:t>
      </w:r>
    </w:p>
    <w:p>
      <w:pPr>
        <w:jc w:val="both"/>
      </w:pPr>
      <w:r>
        <w:rPr>
          <w:rFonts w:ascii="Times New Roman" w:hAnsi="Times New Roman"/>
          <w:b w:val="0"/>
          <w:i w:val="0"/>
          <w:color w:val="CC0000"/>
          <w:sz w:val="24"/>
        </w:rPr>
        <w:t>CẬP NHẬT — sau khi phát hiện Happy House, khoảng trống số 1 đã được LẤP MỘT PHẦN (universal), nhưng xuất hiện khoảng trống mới:</w:t>
      </w:r>
    </w:p>
    <w:p>
      <w:pPr>
        <w:jc w:val="both"/>
      </w:pPr>
      <w:r>
        <w:rPr>
          <w:rFonts w:ascii="Times New Roman" w:hAnsi="Times New Roman"/>
          <w:b w:val="0"/>
          <w:i w:val="0"/>
          <w:color w:val="CC0000"/>
          <w:sz w:val="24"/>
        </w:rPr>
        <w:t>1. [CẬP NHẬT] Thay vì "0 RCT can thiệp" → còn thiếu RCT TARGETED cho HS có triệu chứng lo âu rõ rệt (Happy House là universal trên lớp 10, không phải targeted). Cần RCT cho nhóm GAD-7 ≥ 8 hoặc DASS-Y lo âu ≥ 8.</w:t>
      </w:r>
    </w:p>
    <w:p>
      <w:pPr>
        <w:jc w:val="both"/>
      </w:pPr>
      <w:r>
        <w:rPr>
          <w:rFonts w:ascii="Times New Roman" w:hAnsi="Times New Roman"/>
          <w:b w:val="0"/>
          <w:i w:val="0"/>
          <w:color w:val="CC0000"/>
          <w:sz w:val="24"/>
        </w:rPr>
        <w:t>2. Phát triển app iCBT / Mobile CBT TIẾNG VIỆT — phù hợp xếp hạng số 3, 4, 8, 11 + mô hình stepped care (Baumgart 2025).</w:t>
      </w:r>
    </w:p>
    <w:p>
      <w:pPr>
        <w:jc w:val="both"/>
      </w:pPr>
      <w:r>
        <w:rPr>
          <w:rFonts w:ascii="Times New Roman" w:hAnsi="Times New Roman"/>
          <w:b w:val="0"/>
          <w:i w:val="0"/>
          <w:color w:val="CC0000"/>
          <w:sz w:val="24"/>
        </w:rPr>
        <w:t>3. Đào tạo GIÁO VIÊN HOẶC Y TÁ HỌC ĐƯỜNG cung cấp CBT — mô hình De Silva 2024 (Sri Lanka), Happy House VN 2023 (đã có), và tandfonline 2025 SR+MA school nurse.</w:t>
      </w:r>
    </w:p>
    <w:p>
      <w:pPr>
        <w:jc w:val="both"/>
      </w:pPr>
      <w:r>
        <w:rPr>
          <w:rFonts w:ascii="Times New Roman" w:hAnsi="Times New Roman"/>
          <w:b w:val="0"/>
          <w:i w:val="0"/>
          <w:color w:val="CC0000"/>
          <w:sz w:val="24"/>
        </w:rPr>
        <w:t>4. CA-CBT (CBT thích ứng văn hoá Á Đông) phiên bản VN CHUYÊN BIỆT CHO LO ÂU — Happy House RAP-A chủ yếu đo trầm cảm, chưa có RCT cho lo âu chuyên biệt tại VN.</w:t>
      </w:r>
    </w:p>
    <w:p>
      <w:pPr>
        <w:jc w:val="both"/>
      </w:pPr>
      <w:r>
        <w:rPr>
          <w:rFonts w:ascii="Times New Roman" w:hAnsi="Times New Roman"/>
          <w:b w:val="0"/>
          <w:i w:val="0"/>
          <w:color w:val="CC0000"/>
          <w:sz w:val="24"/>
        </w:rPr>
        <w:t>5. Can thiệp ĐA CẤP: cá nhân + GIA ĐÌNH + cộng đồng — kèm BOOSTER SESSIONS dài hạn để tránh fade-out (bài học Happy House).</w:t>
      </w:r>
    </w:p>
    <w:p>
      <w:pPr>
        <w:pStyle w:val="Heading2"/>
      </w:pPr>
      <w:r>
        <w:rPr>
          <w:rFonts w:ascii="Times New Roman" w:hAnsi="Times New Roman"/>
          <w:color w:val="000000"/>
        </w:rPr>
        <w:t>4.5. Kết luận (cập nhật v3)</w:t>
      </w:r>
    </w:p>
    <w:p>
      <w:pPr>
        <w:jc w:val="both"/>
      </w:pPr>
      <w:r>
        <w:rPr>
          <w:rFonts w:ascii="Times New Roman" w:hAnsi="Times New Roman"/>
          <w:b/>
          <w:i/>
          <w:color w:val="CC0000"/>
          <w:sz w:val="24"/>
        </w:rPr>
        <w:t>Việt Nam đã có RCT cluster đầu tiên về can thiệp SKTT học đường cho VTN (Happy House, Tran et al. 2023, Cambridge Prisms: Global Mental Health) — lấp khoảng trống "0 RCT VN" mà v2 đã nhận định sai. Tuy nhiên, khoảng trống vẫn còn lớn: Happy House là UNIVERSAL (toàn lớp), hiệu ứng nhỏ (d = 0,11) và FADE-OUT ở 6 tháng; đo TRẦM CẢM chính, không có lo âu chuyên biệt; chỉ lớp 10 Hà Nội. Bằng chứng quốc tế (Châu Á) cho thấy CBT (cá nhân, nhóm, internet) là phương pháp hiệu quả nhất; mô hình Sri Lanka (GV cung cấp) khả thi cho LMIC; iCBT phù hợp VTN số hoá; PHẢI tránh universal interventions chỉ với hiệu ứng nhỏ; cần tích hợp can thiệp GIA ĐÌNH (phát hiện Dong 2025) và BOOSTER SESSIONS dài hạn. Đề cương Việt Nam nên thiết kế can thiệp TARGETED 12 tuần đa thành phần + booster ở 3 và 6 tháng — bổ sung cho Happy House đã có.</w:t>
      </w:r>
    </w:p>
    <w:p>
      <w:r>
        <w:br w:type="page"/>
      </w:r>
    </w:p>
    <w:p>
      <w:pPr>
        <w:pStyle w:val="Heading1"/>
      </w:pPr>
      <w:r>
        <w:rPr>
          <w:rFonts w:ascii="Times New Roman" w:hAnsi="Times New Roman"/>
          <w:color w:val="CC0000"/>
        </w:rPr>
        <w:t>TÀI LIỆU THAM KHẢO BỔ SUNG V3 (các bài mới so với v2)</w:t>
      </w:r>
    </w:p>
    <w:p>
      <w:pPr>
        <w:jc w:val="both"/>
      </w:pPr>
      <w:r>
        <w:rPr>
          <w:rFonts w:ascii="Times New Roman" w:hAnsi="Times New Roman"/>
          <w:b w:val="0"/>
          <w:i w:val="0"/>
          <w:color w:val="CC0000"/>
          <w:sz w:val="24"/>
        </w:rPr>
        <w:t>1. Tran, T.D., Nguyen, H., Shochet, I., Nguyen, N., La, N., Wurfl, A., Orr, J., Nguyen, H., Stocker, R., &amp; Fisher, J. (2023). School-based universal mental health promotion intervention for adolescents in Vietnam: Two-arm, parallel, controlled trial. Cambridge Prisms: Global Mental Health, 10, e58. https://pmc.ncbi.nlm.nih.gov/articles/PMC10643236/</w:t>
      </w:r>
    </w:p>
    <w:p>
      <w:pPr>
        <w:jc w:val="both"/>
      </w:pPr>
      <w:r>
        <w:rPr>
          <w:rFonts w:ascii="Times New Roman" w:hAnsi="Times New Roman"/>
          <w:b w:val="0"/>
          <w:i w:val="0"/>
          <w:color w:val="CC0000"/>
          <w:sz w:val="24"/>
        </w:rPr>
        <w:t>2. Nguyen, N., Tran, T.D., Shochet, I., Nguyen, H., Fisher, J., et al. (2022). Adaptation of a school-based mental health program for adolescents in Vietnam. PLOS ONE, 17(8), e0271959. https://pubmed.ncbi.nlm.nih.gov/35925878/</w:t>
      </w:r>
    </w:p>
    <w:p>
      <w:pPr>
        <w:jc w:val="both"/>
      </w:pPr>
      <w:r>
        <w:rPr>
          <w:rFonts w:ascii="Times New Roman" w:hAnsi="Times New Roman"/>
          <w:b w:val="0"/>
          <w:i w:val="0"/>
          <w:color w:val="CC0000"/>
          <w:sz w:val="24"/>
        </w:rPr>
        <w:t>3. Studsgaard, E. et al. (2025). Developing an Internet-Based Cognitive Behavioral Therapy Intervention for Adolescents With Anxiety Disorders: Design, Usability, and Initial Evaluation of the CoolMinds Intervention. JMIR Formative Research, 9, e66966. https://pmc.ncbi.nlm.nih.gov/articles/PMC12015348/</w:t>
      </w:r>
    </w:p>
    <w:p>
      <w:pPr>
        <w:jc w:val="both"/>
      </w:pPr>
      <w:r>
        <w:rPr>
          <w:rFonts w:ascii="Times New Roman" w:hAnsi="Times New Roman"/>
          <w:b w:val="0"/>
          <w:i w:val="0"/>
          <w:color w:val="CC0000"/>
          <w:sz w:val="24"/>
        </w:rPr>
        <w:t>4. Baumgart, N. et al. (2025). Integrating Videoconferencing Therapist Guidance Into Stepped Care Internet-Delivered Cognitive Behavioral Therapy for Child and Adolescent Anxiety: Noninferiority Randomized Controlled Trial. JMIR Mental Health, 12, e57405. https://mental.jmir.org/2025/1/e57405</w:t>
      </w:r>
    </w:p>
    <w:p>
      <w:pPr>
        <w:jc w:val="both"/>
      </w:pPr>
      <w:r>
        <w:rPr>
          <w:rFonts w:ascii="Times New Roman" w:hAnsi="Times New Roman"/>
          <w:b w:val="0"/>
          <w:i w:val="0"/>
          <w:color w:val="CC0000"/>
          <w:sz w:val="24"/>
        </w:rPr>
        <w:t>5. [Author group TBD] (2025). School nurse–delivered anxiety interventions for adolescents: A systematic review and meta-analysis. Cogent Psychology (Taylor &amp; Francis), published 18/06/2025. https://www.tandfonline.com/doi/full/10.1080/23311908.2025.2519529</w:t>
      </w:r>
    </w:p>
    <w:p>
      <w:pPr>
        <w:jc w:val="both"/>
      </w:pPr>
      <w:r>
        <w:rPr>
          <w:rFonts w:ascii="Times New Roman" w:hAnsi="Times New Roman"/>
          <w:b w:val="0"/>
          <w:i w:val="0"/>
          <w:color w:val="CC0000"/>
          <w:sz w:val="24"/>
        </w:rPr>
        <w:t>6. Imondi, G., Caron, E.B., Blanchard, L., Butler, E., &amp; Ginsburg, G.S. (2025). Impact of the Child Anxiety Learning Modules (CALM), a School Nurse-Delivered Intervention for Anxiety, on Elementary Students School Outcomes. NASN School Nurse, 40. DOI 10.1177/10598405251328369</w:t>
      </w:r>
    </w:p>
    <w:p>
      <w:pPr>
        <w:jc w:val="both"/>
      </w:pPr>
      <w:r>
        <w:rPr>
          <w:rFonts w:ascii="Times New Roman" w:hAnsi="Times New Roman"/>
          <w:b w:val="0"/>
          <w:i w:val="0"/>
          <w:color w:val="CC0000"/>
          <w:sz w:val="24"/>
        </w:rPr>
        <w:t>7. [VR meta-analysis group] (2025). Effectiveness of virtual reality therapy in the treatment of anxiety disorders in adolescents and adults: a systematic review and meta-analysis of randomized controlled trials. Frontiers in Psychiatry, 16, 1553290. https://pmc.ncbi.nlm.nih.gov/articles/PMC11904249/</w:t>
      </w:r>
    </w:p>
    <w:p>
      <w:pPr>
        <w:jc w:val="both"/>
      </w:pPr>
      <w:r>
        <w:rPr>
          <w:rFonts w:ascii="Times New Roman" w:hAnsi="Times New Roman"/>
          <w:b w:val="0"/>
          <w:i w:val="0"/>
          <w:color w:val="CC0000"/>
          <w:sz w:val="24"/>
        </w:rPr>
        <w:t>8. [JAACAP umbrella group] (2025). Systematic Umbrella Review and Meta-Meta-Analysis: Effectiveness of Physical Activity in Improving Depression and Anxiety in Children and Adolescents. Journal of the American Academy of Child &amp; Adolescent Psychiatry. https://www.jaacap.org/article/S0890-8567(25)00208-4/fulltext</w:t>
      </w:r>
    </w:p>
    <w:p>
      <w:pPr>
        <w:jc w:val="both"/>
      </w:pPr>
      <w:r>
        <w:rPr>
          <w:rFonts w:ascii="Times New Roman" w:hAnsi="Times New Roman"/>
          <w:b w:val="0"/>
          <w:i w:val="0"/>
          <w:color w:val="CC0000"/>
          <w:sz w:val="24"/>
        </w:rPr>
        <w:t>9. Zapf, H., Stocker, J. (2024). A systematic review of the association between parent-child communication and adolescent mental health. JCPP Advances, 4. https://acamh.onlinelibrary.wiley.com/doi/10.1002/jcv2.12205</w:t>
      </w:r>
    </w:p>
    <w:p>
      <w:pPr>
        <w:jc w:val="both"/>
      </w:pPr>
      <w:r>
        <w:rPr>
          <w:rFonts w:ascii="Times New Roman" w:hAnsi="Times New Roman"/>
          <w:b w:val="0"/>
          <w:i w:val="0"/>
          <w:color w:val="CC0000"/>
          <w:sz w:val="24"/>
        </w:rPr>
        <w:t>10. Dao, T.N., Pham, T.S., Tran, T.N.T., Nguyen, T.N., Vo, T.H., Pho, T.V., Tran, H.T., Hoang, B.A., Tran, P.M., &amp; Phan, T.M.N. (2025). Thực trạng tâm lý của sinh viên năm thứ tư Trường Đại học Y Hà Nội năm học 2023-2024. Tạp chí Nghiên cứu Y học, 187(02), tr. 296–303. (= bài 59 của dự án)</w:t>
      </w:r>
    </w:p>
    <w:p>
      <w:pPr>
        <w:jc w:val="both"/>
      </w:pPr>
      <w:r>
        <w:rPr>
          <w:rFonts w:ascii="Times New Roman" w:hAnsi="Times New Roman"/>
          <w:b w:val="0"/>
          <w:i w:val="0"/>
          <w:color w:val="CC0000"/>
          <w:sz w:val="24"/>
        </w:rPr>
        <w:t>11. Thai, T.T., Vo Le, H.T., Nguyen, T.T., Dinh, N.V., Mai, X.L., Tran, H.T.T., Nguyen, N.B.T., Huynh, K.H.M., Nguyen, T.A.T., Bui, H.H.T., &amp; Duong, M.C. (2025). Unmasking the burden of mental health symptoms and risk behaviors in Vietnamese adolescents: evidence from a multicenter cross-sectional study involving 2,631 high school students. Social Psychiatry and Psychiatric Epidemiology. DOI 10.1007/s00127-025-03043-7. (= bài 60)</w:t>
      </w:r>
    </w:p>
    <w:p>
      <w:pPr>
        <w:jc w:val="both"/>
      </w:pPr>
      <w:r>
        <w:rPr>
          <w:rFonts w:ascii="Times New Roman" w:hAnsi="Times New Roman"/>
          <w:b w:val="0"/>
          <w:i/>
          <w:color w:val="CC0000"/>
          <w:sz w:val="20"/>
        </w:rPr>
        <w:t>* Các bài từ v2 (23 bài gốc) giữ nguyên trong bản v2 — không liệt kê lại ở đây để tiết kiệm không gian.</w:t>
      </w:r>
    </w:p>
    <w:p>
      <w:pPr>
        <w:pStyle w:val="Heading1"/>
      </w:pPr>
      <w:r>
        <w:rPr>
          <w:rFonts w:ascii="Times New Roman" w:hAnsi="Times New Roman"/>
          <w:color w:val="CC0000"/>
        </w:rPr>
        <w:t>PHỤ LỤC A — TỪ KHOÁ ĐÃ DÙNG ĐỂ TÌM KIẾM WEB (v3)</w:t>
      </w:r>
    </w:p>
    <w:p>
      <w:pPr>
        <w:jc w:val="both"/>
      </w:pPr>
      <w:r>
        <w:rPr>
          <w:rFonts w:ascii="Times New Roman" w:hAnsi="Times New Roman"/>
          <w:b w:val="0"/>
          <w:i w:val="0"/>
          <w:color w:val="CC0000"/>
          <w:sz w:val="24"/>
        </w:rPr>
        <w:t>Sau đây là các từ khoá được rút trích từ các bài đã đọc và dùng để tìm kiếm bổ sung trên web (Google Scholar, PubMed, JMIR, tandfonline, Springer, Wiley):</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Nhóm từ khoá</w:t>
            </w:r>
          </w:p>
        </w:tc>
        <w:tc>
          <w:tcPr>
            <w:tcW w:w="6520" w:type="dxa"/>
            <w:shd w:fill="D9E2F3" w:val="clear"/>
          </w:tcPr>
          <w:p>
            <w:pPr>
              <w:jc w:val="center"/>
            </w:pPr>
            <w:r>
              <w:rPr>
                <w:rFonts w:ascii="Times New Roman" w:hAnsi="Times New Roman"/>
                <w:b/>
                <w:sz w:val="20"/>
              </w:rPr>
              <w:t>Các từ khoá đã dùng</w:t>
            </w:r>
          </w:p>
        </w:tc>
      </w:tr>
      <w:tr>
        <w:tc>
          <w:tcPr>
            <w:tcW w:w="2268" w:type="dxa"/>
          </w:tcPr>
          <w:p>
            <w:r>
              <w:rPr>
                <w:rFonts w:ascii="Times New Roman" w:hAnsi="Times New Roman"/>
                <w:sz w:val="20"/>
              </w:rPr>
              <w:t>Thiết kế NC</w:t>
            </w:r>
          </w:p>
        </w:tc>
        <w:tc>
          <w:tcPr>
            <w:tcW w:w="6520" w:type="dxa"/>
          </w:tcPr>
          <w:p>
            <w:r>
              <w:rPr>
                <w:rFonts w:ascii="Times New Roman" w:hAnsi="Times New Roman"/>
                <w:sz w:val="20"/>
              </w:rPr>
              <w:t>randomized controlled trial, cluster RCT, meta-analysis, network meta-analysis, systematic review, umbrella review, feasibility trial, noninferiority trial</w:t>
            </w:r>
          </w:p>
        </w:tc>
      </w:tr>
      <w:tr>
        <w:tc>
          <w:tcPr>
            <w:tcW w:w="2268" w:type="dxa"/>
          </w:tcPr>
          <w:p>
            <w:r>
              <w:rPr>
                <w:rFonts w:ascii="Times New Roman" w:hAnsi="Times New Roman"/>
                <w:sz w:val="20"/>
              </w:rPr>
              <w:t>Đối tượng</w:t>
            </w:r>
          </w:p>
        </w:tc>
        <w:tc>
          <w:tcPr>
            <w:tcW w:w="6520" w:type="dxa"/>
          </w:tcPr>
          <w:p>
            <w:r>
              <w:rPr>
                <w:rFonts w:ascii="Times New Roman" w:hAnsi="Times New Roman"/>
                <w:sz w:val="20"/>
              </w:rPr>
              <w:t>adolescent, children, young people, youth, high school, THCS, THPT, VTN, early adolescence, Vietnamese, Asian</w:t>
            </w:r>
          </w:p>
        </w:tc>
      </w:tr>
      <w:tr>
        <w:tc>
          <w:tcPr>
            <w:tcW w:w="2268" w:type="dxa"/>
          </w:tcPr>
          <w:p>
            <w:r>
              <w:rPr>
                <w:rFonts w:ascii="Times New Roman" w:hAnsi="Times New Roman"/>
                <w:sz w:val="20"/>
              </w:rPr>
              <w:t>Rối loạn</w:t>
            </w:r>
          </w:p>
        </w:tc>
        <w:tc>
          <w:tcPr>
            <w:tcW w:w="6520" w:type="dxa"/>
          </w:tcPr>
          <w:p>
            <w:r>
              <w:rPr>
                <w:rFonts w:ascii="Times New Roman" w:hAnsi="Times New Roman"/>
                <w:sz w:val="20"/>
              </w:rPr>
              <w:t>anxiety disorder, social anxiety disorder (SAD), generalized anxiety disorder (GAD), subthreshold anxiety, panic, phobia, depression, stress, mental health</w:t>
            </w:r>
          </w:p>
        </w:tc>
      </w:tr>
      <w:tr>
        <w:tc>
          <w:tcPr>
            <w:tcW w:w="2268" w:type="dxa"/>
          </w:tcPr>
          <w:p>
            <w:r>
              <w:rPr>
                <w:rFonts w:ascii="Times New Roman" w:hAnsi="Times New Roman"/>
                <w:sz w:val="20"/>
              </w:rPr>
              <w:t>Can thiệp cốt lõi</w:t>
            </w:r>
          </w:p>
        </w:tc>
        <w:tc>
          <w:tcPr>
            <w:tcW w:w="6520" w:type="dxa"/>
          </w:tcPr>
          <w:p>
            <w:r>
              <w:rPr>
                <w:rFonts w:ascii="Times New Roman" w:hAnsi="Times New Roman"/>
                <w:sz w:val="20"/>
              </w:rPr>
              <w:t>CBT, cognitive behavioral therapy, iCBT, internet-based CBT, DMHI, digital mental health, mobile CBT, smartphone app, VR, virtual reality exposure, CA-CBT, culturally adapted CBT, RAP-A, resilience training, mindfulness</w:t>
            </w:r>
          </w:p>
        </w:tc>
      </w:tr>
      <w:tr>
        <w:tc>
          <w:tcPr>
            <w:tcW w:w="2268" w:type="dxa"/>
          </w:tcPr>
          <w:p>
            <w:r>
              <w:rPr>
                <w:rFonts w:ascii="Times New Roman" w:hAnsi="Times New Roman"/>
                <w:sz w:val="20"/>
              </w:rPr>
              <w:t>Bối cảnh</w:t>
            </w:r>
          </w:p>
        </w:tc>
        <w:tc>
          <w:tcPr>
            <w:tcW w:w="6520" w:type="dxa"/>
          </w:tcPr>
          <w:p>
            <w:r>
              <w:rPr>
                <w:rFonts w:ascii="Times New Roman" w:hAnsi="Times New Roman"/>
                <w:sz w:val="20"/>
              </w:rPr>
              <w:t>school-based, universal prevention, targeted prevention, indicated prevention, self-referral, stepped care, teacher-delivered, school nurse, MHST, PLACES, BESST, Happy House</w:t>
            </w:r>
          </w:p>
        </w:tc>
      </w:tr>
      <w:tr>
        <w:tc>
          <w:tcPr>
            <w:tcW w:w="2268" w:type="dxa"/>
          </w:tcPr>
          <w:p>
            <w:r>
              <w:rPr>
                <w:rFonts w:ascii="Times New Roman" w:hAnsi="Times New Roman"/>
                <w:sz w:val="20"/>
              </w:rPr>
              <w:t>Tích hợp gia đình</w:t>
            </w:r>
          </w:p>
        </w:tc>
        <w:tc>
          <w:tcPr>
            <w:tcW w:w="6520" w:type="dxa"/>
          </w:tcPr>
          <w:p>
            <w:r>
              <w:rPr>
                <w:rFonts w:ascii="Times New Roman" w:hAnsi="Times New Roman"/>
                <w:sz w:val="20"/>
              </w:rPr>
              <w:t>parent-child communication, family intervention, parent training, parent-child interaction therapy, emotional support</w:t>
            </w:r>
          </w:p>
        </w:tc>
      </w:tr>
      <w:tr>
        <w:tc>
          <w:tcPr>
            <w:tcW w:w="2268" w:type="dxa"/>
          </w:tcPr>
          <w:p>
            <w:r>
              <w:rPr>
                <w:rFonts w:ascii="Times New Roman" w:hAnsi="Times New Roman"/>
                <w:sz w:val="20"/>
              </w:rPr>
              <w:t>Địa lý</w:t>
            </w:r>
          </w:p>
        </w:tc>
        <w:tc>
          <w:tcPr>
            <w:tcW w:w="6520" w:type="dxa"/>
          </w:tcPr>
          <w:p>
            <w:r>
              <w:rPr>
                <w:rFonts w:ascii="Times New Roman" w:hAnsi="Times New Roman"/>
                <w:sz w:val="20"/>
              </w:rPr>
              <w:t>Vietnam, Southeast Asia, LMIC, Japan, Sri Lanka, China, UK, Australia, Denmark, United States</w:t>
            </w:r>
          </w:p>
        </w:tc>
      </w:tr>
      <w:tr>
        <w:tc>
          <w:tcPr>
            <w:tcW w:w="2268" w:type="dxa"/>
          </w:tcPr>
          <w:p>
            <w:r>
              <w:rPr>
                <w:rFonts w:ascii="Times New Roman" w:hAnsi="Times New Roman"/>
                <w:sz w:val="20"/>
              </w:rPr>
              <w:t>Kết quả đo</w:t>
            </w:r>
          </w:p>
        </w:tc>
        <w:tc>
          <w:tcPr>
            <w:tcW w:w="6520" w:type="dxa"/>
          </w:tcPr>
          <w:p>
            <w:r>
              <w:rPr>
                <w:rFonts w:ascii="Times New Roman" w:hAnsi="Times New Roman"/>
                <w:sz w:val="20"/>
              </w:rPr>
              <w:t>Cohen d, SMD, SUCRA, Hedges g, OR, β coefficient, HAM-A, DASS-21, GAD-7, SIAS, SCAS</w:t>
            </w:r>
          </w:p>
        </w:tc>
      </w:tr>
      <w:tr>
        <w:tc>
          <w:tcPr>
            <w:tcW w:w="2268" w:type="dxa"/>
          </w:tcPr>
          <w:p>
            <w:r>
              <w:rPr>
                <w:rFonts w:ascii="Times New Roman" w:hAnsi="Times New Roman"/>
                <w:sz w:val="20"/>
              </w:rPr>
              <w:t>Cơ chế</w:t>
            </w:r>
          </w:p>
        </w:tc>
        <w:tc>
          <w:tcPr>
            <w:tcW w:w="6520" w:type="dxa"/>
          </w:tcPr>
          <w:p>
            <w:r>
              <w:rPr>
                <w:rFonts w:ascii="Times New Roman" w:hAnsi="Times New Roman"/>
                <w:sz w:val="20"/>
              </w:rPr>
              <w:t>self-efficacy, resilience, optimism, perfectionism trap, exposure, habituation, attentional bias</w:t>
            </w:r>
          </w:p>
        </w:tc>
      </w:tr>
    </w:tbl>
    <w:p>
      <w:pPr>
        <w:jc w:val="both"/>
      </w:pPr>
      <w:r>
        <w:rPr>
          <w:rFonts w:ascii="Times New Roman" w:hAnsi="Times New Roman"/>
          <w:b w:val="0"/>
          <w:i w:val="0"/>
          <w:color w:val="CC0000"/>
          <w:sz w:val="24"/>
        </w:rPr>
        <w:t>Các nguồn dữ liệu đã tra cứu: PubMed/PMC, JMIR journals (formative, mental health, pediatrics), tandfonline (Taylor &amp; Francis), Springer/Nature, Wiley, Frontiers, Cambridge journals (Global Mental Health), JAMA Network, NEJM, BMC Psychiatry, PLOS ONE, PLOS Mental Health, ScienceDirect, Crossref, Semantic Scholar, Google Scholar.</w:t>
      </w:r>
    </w:p>
    <w:p>
      <w:pPr>
        <w:pStyle w:val="Heading2"/>
      </w:pPr>
      <w:r>
        <w:rPr>
          <w:rFonts w:ascii="Times New Roman" w:hAnsi="Times New Roman"/>
          <w:color w:val="CC0000"/>
        </w:rPr>
        <w:t>KẾT LUẬN VỀ BẢN V3</w:t>
      </w:r>
    </w:p>
    <w:p>
      <w:pPr>
        <w:jc w:val="both"/>
      </w:pPr>
      <w:r>
        <w:rPr>
          <w:rFonts w:ascii="Times New Roman" w:hAnsi="Times New Roman"/>
          <w:b/>
          <w:i w:val="0"/>
          <w:color w:val="CC0000"/>
          <w:sz w:val="24"/>
        </w:rPr>
        <w:t>Báo cáo v3 đã cập nhật 11 điểm so với v2:</w:t>
      </w:r>
    </w:p>
    <w:p>
      <w:pPr>
        <w:jc w:val="both"/>
      </w:pPr>
      <w:r>
        <w:rPr>
          <w:rFonts w:ascii="Times New Roman" w:hAnsi="Times New Roman"/>
          <w:b w:val="0"/>
          <w:i w:val="0"/>
          <w:color w:val="CC0000"/>
          <w:sz w:val="24"/>
        </w:rPr>
        <w:t>• Sửa 4 lỗi QA tìm được (VN25 tỷ lệ, QT44 tác giả, QT45 UMIN, QT46 tác giả).</w:t>
      </w:r>
    </w:p>
    <w:p>
      <w:pPr>
        <w:jc w:val="both"/>
      </w:pPr>
      <w:r>
        <w:rPr>
          <w:rFonts w:ascii="Times New Roman" w:hAnsi="Times New Roman"/>
          <w:b w:val="0"/>
          <w:i w:val="0"/>
          <w:color w:val="CC0000"/>
          <w:sz w:val="24"/>
        </w:rPr>
        <w:t>• Bổ sung 9 bài mới (1 bài VN: Happy House; 8 bài QT: CoolMinds, Stepped care VC, School nurse SR, CALM, VR MA, JAACAP PA umbrella, MIXCS Japan, Zapf parent-child, Brown &amp; Carter UK).</w:t>
      </w:r>
    </w:p>
    <w:p>
      <w:pPr>
        <w:jc w:val="both"/>
      </w:pPr>
      <w:r>
        <w:rPr>
          <w:rFonts w:ascii="Times New Roman" w:hAnsi="Times New Roman"/>
          <w:b w:val="0"/>
          <w:i w:val="0"/>
          <w:color w:val="CC0000"/>
          <w:sz w:val="24"/>
        </w:rPr>
        <w:t>• Thêm 2 bài VN đã dịch mới (bài 59 TCNCYH, bài 60 Duong TPHCM).</w:t>
      </w:r>
    </w:p>
    <w:p>
      <w:pPr>
        <w:jc w:val="both"/>
      </w:pPr>
      <w:r>
        <w:rPr>
          <w:rFonts w:ascii="Times New Roman" w:hAnsi="Times New Roman"/>
          <w:b w:val="0"/>
          <w:i w:val="0"/>
          <w:color w:val="CC0000"/>
          <w:sz w:val="24"/>
        </w:rPr>
        <w:t>• Sửa khẳng định "0 RCT VN" thành "1 RCT VN (Happy House universal) + còn thiếu targeted".</w:t>
      </w:r>
    </w:p>
    <w:p>
      <w:pPr>
        <w:jc w:val="both"/>
      </w:pPr>
      <w:r>
        <w:rPr>
          <w:rFonts w:ascii="Times New Roman" w:hAnsi="Times New Roman"/>
          <w:b w:val="0"/>
          <w:i w:val="0"/>
          <w:color w:val="CC0000"/>
          <w:sz w:val="24"/>
        </w:rPr>
        <w:t>• Cập nhật bảng xếp hạng từ 13 → 15 phương pháp (thêm VR exposure + school nurse).</w:t>
      </w:r>
    </w:p>
    <w:p>
      <w:pPr>
        <w:jc w:val="both"/>
      </w:pPr>
      <w:r>
        <w:rPr>
          <w:rFonts w:ascii="Times New Roman" w:hAnsi="Times New Roman"/>
          <w:b w:val="0"/>
          <w:i w:val="0"/>
          <w:color w:val="CC0000"/>
          <w:sz w:val="24"/>
        </w:rPr>
        <w:t>• Cập nhật đề xuất 5 thành phần + booster sessions.</w:t>
      </w:r>
    </w:p>
    <w:p>
      <w:pPr>
        <w:jc w:val="both"/>
      </w:pPr>
      <w:r>
        <w:rPr>
          <w:rFonts w:ascii="Times New Roman" w:hAnsi="Times New Roman"/>
          <w:b w:val="0"/>
          <w:i w:val="0"/>
          <w:color w:val="CC0000"/>
          <w:sz w:val="24"/>
        </w:rPr>
        <w:t>• Thêm phụ lục từ khoá đã tìm kiếm trên web.</w:t>
      </w:r>
    </w:p>
    <w:p>
      <w:pPr>
        <w:jc w:val="center"/>
      </w:pPr>
      <w:r>
        <w:rPr>
          <w:rFonts w:ascii="Times New Roman" w:hAnsi="Times New Roman"/>
          <w:b w:val="0"/>
          <w:i/>
          <w:sz w:val="24"/>
        </w:rPr>
        <w:t>---</w:t>
      </w:r>
    </w:p>
    <w:p>
      <w:pPr>
        <w:jc w:val="center"/>
      </w:pPr>
      <w:r>
        <w:rPr>
          <w:rFonts w:ascii="Times New Roman" w:hAnsi="Times New Roman"/>
          <w:b w:val="0"/>
          <w:i/>
          <w:sz w:val="20"/>
        </w:rPr>
        <w:t>Báo cáo v3 — 11/04/2026 — cập nhật từ v2 (10/04/2026).</w:t>
      </w:r>
    </w:p>
    <w:p>
      <w:r>
        <w:br w:type="page"/>
      </w:r>
    </w:p>
    <w:p>
      <w:pPr>
        <w:pStyle w:val="Heading1"/>
      </w:pPr>
      <w:r>
        <w:rPr>
          <w:rFonts w:ascii="Times New Roman" w:hAnsi="Times New Roman"/>
          <w:color w:val="CC0000"/>
        </w:rPr>
        <w:t>PHỤ LỤC B — BẢN ĐỒ NGHIÊN CỨU LO ÂU TẠI VIỆT NAM (cập nhật 11/04/2026)</w:t>
      </w:r>
    </w:p>
    <w:p>
      <w:pPr>
        <w:jc w:val="both"/>
      </w:pPr>
      <w:r>
        <w:rPr>
          <w:rFonts w:ascii="Times New Roman" w:hAnsi="Times New Roman"/>
          <w:b w:val="0"/>
          <w:i/>
          <w:sz w:val="24"/>
        </w:rPr>
        <w:t>Bản đồ dưới đây thể hiện 11 địa điểm có nghiên cứu khảo sát lo âu ở vị thành niên trong hệ thống 19 bài VN của dự án (chưa kể 4 nghiên cứu quốc gia / đa tỉnh không hiển thị marker).</w:t>
      </w:r>
    </w:p>
    <w:p>
      <w:pPr>
        <w:jc w:val="both"/>
      </w:pPr>
      <w:r>
        <w:rPr>
          <w:rFonts w:ascii="Times New Roman" w:hAnsi="Times New Roman"/>
          <w:b w:val="0"/>
          <w:i/>
          <w:sz w:val="24"/>
        </w:rPr>
        <w:t>Nguồn dữ liệu bản đồ: GeoJSON 49 tỉnh Việt Nam (world-geojson). Marker được tô màu theo số lượng nghiên cứu tại địa điểm: xanh lá (1 NC), cam (2 NC), đỏ (≥ 3 NC).</w:t>
      </w:r>
    </w:p>
    <w:p>
      <w:pPr>
        <w:jc w:val="center"/>
      </w:pPr>
      <w:r>
        <w:drawing>
          <wp:inline xmlns:a="http://schemas.openxmlformats.org/drawingml/2006/main" xmlns:pic="http://schemas.openxmlformats.org/drawingml/2006/picture">
            <wp:extent cx="5580000" cy="7530145"/>
            <wp:docPr id="1" name="Picture 1"/>
            <wp:cNvGraphicFramePr>
              <a:graphicFrameLocks noChangeAspect="1"/>
            </wp:cNvGraphicFramePr>
            <a:graphic>
              <a:graphicData uri="http://schemas.openxmlformats.org/drawingml/2006/picture">
                <pic:pic>
                  <pic:nvPicPr>
                    <pic:cNvPr id="0" name="ban_do_VN_NC_lo_au_geo.png"/>
                    <pic:cNvPicPr/>
                  </pic:nvPicPr>
                  <pic:blipFill>
                    <a:blip r:embed="rId9"/>
                    <a:stretch>
                      <a:fillRect/>
                    </a:stretch>
                  </pic:blipFill>
                  <pic:spPr>
                    <a:xfrm>
                      <a:off x="0" y="0"/>
                      <a:ext cx="5580000" cy="7530145"/>
                    </a:xfrm>
                    <a:prstGeom prst="rect"/>
                  </pic:spPr>
                </pic:pic>
              </a:graphicData>
            </a:graphic>
          </wp:inline>
        </w:drawing>
      </w:r>
    </w:p>
    <w:p>
      <w:pPr>
        <w:jc w:val="center"/>
      </w:pPr>
      <w:r>
        <w:rPr>
          <w:rFonts w:ascii="Times New Roman" w:hAnsi="Times New Roman"/>
          <w:i/>
          <w:sz w:val="20"/>
        </w:rPr>
        <w:t>Bản đồ. Phân bố 11 địa điểm nghiên cứu lo âu VTN tại Việt Nam (19 bài VN trong hệ thống dự án).</w:t>
      </w:r>
    </w:p>
    <w:p>
      <w:pPr>
        <w:jc w:val="both"/>
      </w:pPr>
      <w:r>
        <w:rPr>
          <w:rFonts w:ascii="Times New Roman" w:hAnsi="Times New Roman"/>
          <w:b w:val="0"/>
          <w:i/>
          <w:sz w:val="24"/>
        </w:rPr>
      </w:r>
    </w:p>
    <w:p>
      <w:pPr>
        <w:jc w:val="both"/>
      </w:pPr>
      <w:r>
        <w:rPr>
          <w:rFonts w:ascii="Times New Roman" w:hAnsi="Times New Roman"/>
          <w:b/>
          <w:i w:val="0"/>
          <w:sz w:val="24"/>
        </w:rPr>
        <w:t>Phân tích phân bố nghiên cứu:</w:t>
      </w:r>
    </w:p>
    <w:p>
      <w:pPr>
        <w:jc w:val="both"/>
      </w:pPr>
      <w:r>
        <w:rPr>
          <w:rFonts w:ascii="Times New Roman" w:hAnsi="Times New Roman"/>
          <w:b w:val="0"/>
          <w:i w:val="0"/>
          <w:sz w:val="24"/>
        </w:rPr>
        <w:t>• HÀ NỘI là địa điểm có nhiều nghiên cứu nhất (6 NC bao gồm Happy House RCT VN — bằng chứng tốt nhất cho can thiệp tại VN).</w:t>
      </w:r>
    </w:p>
    <w:p>
      <w:pPr>
        <w:jc w:val="both"/>
      </w:pPr>
      <w:r>
        <w:rPr>
          <w:rFonts w:ascii="Times New Roman" w:hAnsi="Times New Roman"/>
          <w:b w:val="0"/>
          <w:i w:val="0"/>
          <w:sz w:val="24"/>
        </w:rPr>
        <w:t>• TPHCM xếp thứ 2 (4 NC bao gồm bài Q1 Duong 2025 với n = 2.631).</w:t>
      </w:r>
    </w:p>
    <w:p>
      <w:pPr>
        <w:jc w:val="both"/>
      </w:pPr>
      <w:r>
        <w:rPr>
          <w:rFonts w:ascii="Times New Roman" w:hAnsi="Times New Roman"/>
          <w:b w:val="0"/>
          <w:i w:val="0"/>
          <w:sz w:val="24"/>
        </w:rPr>
        <w:t>• Thừa Thiên Huế có 3 NC, là vùng có nghiên cứu dọc duy nhất (Trần Thảo Vi 2024 NC dọc 3 năm trên 611 HS).</w:t>
      </w:r>
    </w:p>
    <w:p>
      <w:pPr>
        <w:jc w:val="both"/>
      </w:pPr>
      <w:r>
        <w:rPr>
          <w:rFonts w:ascii="Times New Roman" w:hAnsi="Times New Roman"/>
          <w:b w:val="0"/>
          <w:i w:val="0"/>
          <w:sz w:val="24"/>
        </w:rPr>
        <w:t>• KHOẢNG TRỐNG ĐỊA LÝ rõ ràng: miền Trung – Tây Nguyên (Đắk Lắk, Gia Lai, Kon Tum, Lâm Đồng) và miền núi phía Bắc (Sơn La, Điện Biên, Lai Châu, Cao Bằng) gần như KHÔNG có nghiên cứu lo âu VTN. Cần ưu tiên mở rộng khảo sát ở những vùng này — đặc biệt là dân tộc thiểu số (chỉ có 1 NC tại Lạng Sơn — VN15 Ngô Anh Vinh 2024).</w:t>
      </w:r>
    </w:p>
    <w:p>
      <w:pPr>
        <w:jc w:val="both"/>
      </w:pPr>
      <w:r>
        <w:rPr>
          <w:rFonts w:ascii="Times New Roman" w:hAnsi="Times New Roman"/>
          <w:b w:val="0"/>
          <w:i w:val="0"/>
          <w:sz w:val="24"/>
        </w:rPr>
        <w:t>• ĐB SCL có 3 tỉnh được nghiên cứu (An Giang, Vĩnh Long, Long An) — phân bố tốt nhưng chưa đủ bao phủ 13 tỉnh ĐBSCL.</w:t>
      </w:r>
    </w:p>
    <w:p>
      <w:pPr>
        <w:jc w:val="both"/>
      </w:pPr>
      <w:r>
        <w:rPr>
          <w:rFonts w:ascii="Times New Roman" w:hAnsi="Times New Roman"/>
          <w:b/>
          <w:i w:val="0"/>
          <w:sz w:val="24"/>
        </w:rPr>
        <w:t>Khuyến nghị mở rộng địa lý cho đề cương Việt Nam:</w:t>
      </w:r>
    </w:p>
    <w:p>
      <w:pPr>
        <w:jc w:val="both"/>
      </w:pPr>
      <w:r>
        <w:rPr>
          <w:rFonts w:ascii="Times New Roman" w:hAnsi="Times New Roman"/>
          <w:b w:val="0"/>
          <w:i w:val="0"/>
          <w:sz w:val="24"/>
        </w:rPr>
        <w:t>1. Ưu tiên Tây Nguyên: Đắk Lắk, Gia Lai (đa dân tộc, áp lực kinh tế).</w:t>
      </w:r>
    </w:p>
    <w:p>
      <w:pPr>
        <w:jc w:val="both"/>
      </w:pPr>
      <w:r>
        <w:rPr>
          <w:rFonts w:ascii="Times New Roman" w:hAnsi="Times New Roman"/>
          <w:b w:val="0"/>
          <w:i w:val="0"/>
          <w:sz w:val="24"/>
        </w:rPr>
        <w:t>2. Ưu tiên miền núi phía Bắc: Sơn La, Điện Biên (DTTS, ít tiếp cận dịch vụ).</w:t>
      </w:r>
    </w:p>
    <w:p>
      <w:pPr>
        <w:jc w:val="both"/>
      </w:pPr>
      <w:r>
        <w:rPr>
          <w:rFonts w:ascii="Times New Roman" w:hAnsi="Times New Roman"/>
          <w:b w:val="0"/>
          <w:i w:val="0"/>
          <w:sz w:val="24"/>
        </w:rPr>
        <w:t>3. Ưu tiên miền Trung: Quảng Nam, Quảng Ngãi, Phú Yên, Khánh Hòa.</w:t>
      </w:r>
    </w:p>
    <w:p>
      <w:pPr>
        <w:jc w:val="both"/>
      </w:pPr>
      <w:r>
        <w:rPr>
          <w:rFonts w:ascii="Times New Roman" w:hAnsi="Times New Roman"/>
          <w:b w:val="0"/>
          <w:i w:val="0"/>
          <w:sz w:val="24"/>
        </w:rPr>
        <w:t>4. Mở rộng ĐB SCL: Cần Thơ, Đồng Tháp, Tiền Giang, Bến Tre.</w:t>
      </w:r>
    </w:p>
    <w:p>
      <w:r>
        <w:br w:type="page"/>
      </w:r>
    </w:p>
    <w:p>
      <w:pPr>
        <w:pStyle w:val="Heading1"/>
      </w:pPr>
      <w:r>
        <w:rPr>
          <w:rFonts w:ascii="Times New Roman" w:hAnsi="Times New Roman"/>
          <w:color w:val="CC0000"/>
        </w:rPr>
        <w:t>PHỤ LỤC C — 6 TÓM TẮT MỚI QT012 – QT017 (cập nhật 11/04/2026 chiều)</w:t>
      </w:r>
    </w:p>
    <w:p>
      <w:pPr>
        <w:jc w:val="both"/>
      </w:pPr>
      <w:r>
        <w:rPr>
          <w:rFonts w:ascii="Times New Roman" w:hAnsi="Times New Roman"/>
          <w:b w:val="0"/>
          <w:i/>
          <w:sz w:val="24"/>
        </w:rPr>
        <w:t>Sau khi hoàn tất chuẩn hoá tên file canonical (VN001-VN030, QT001-QT051) và rà soát khoảng trống, 6 bài chuyển tiếp QT012-QT017 đã được bổ sung tóm tắt theo format CTH v5:</w:t>
      </w:r>
    </w:p>
    <w:p>
      <w:pPr>
        <w:jc w:val="both"/>
      </w:pPr>
      <w:r>
        <w:rPr>
          <w:rFonts w:ascii="Times New Roman" w:hAnsi="Times New Roman"/>
          <w:b w:val="0"/>
          <w:i w:val="0"/>
          <w:color w:val="CC0000"/>
          <w:sz w:val="24"/>
        </w:rPr>
        <w:t>• QT012 — GBD ASEAN 2025 Lancet Public Health: 80,4 triệu ca rối loạn tâm thần ASEAN 2021, tăng 70 % từ 1990. Việt Nam 10,1 %, Malaysia 13,2 %. DALYs 16,3 % ở nhóm 10–14 tuổi.</w:t>
      </w:r>
    </w:p>
    <w:p>
      <w:pPr>
        <w:jc w:val="both"/>
      </w:pPr>
      <w:r>
        <w:rPr>
          <w:rFonts w:ascii="Times New Roman" w:hAnsi="Times New Roman"/>
          <w:b w:val="0"/>
          <w:i w:val="0"/>
          <w:color w:val="CC0000"/>
          <w:sz w:val="24"/>
        </w:rPr>
        <w:t>• QT013 — Zhameden 2025 PLOS ONE LMIC: SR 6 RCT, 1.587 HS. Chỉ 1/4 NC cho thấy giảm lo âu; 3/4 NC cho thấy giảm trầm cảm. RoB cao cho tất cả. 0 NC từ VN.</w:t>
      </w:r>
    </w:p>
    <w:p>
      <w:pPr>
        <w:jc w:val="both"/>
      </w:pPr>
      <w:r>
        <w:rPr>
          <w:rFonts w:ascii="Times New Roman" w:hAnsi="Times New Roman"/>
          <w:b w:val="0"/>
          <w:i w:val="0"/>
          <w:color w:val="CC0000"/>
          <w:sz w:val="24"/>
        </w:rPr>
        <w:t>• QT014 — Anderson 2025 Wiley Narrative Review: 61 bài về Gen Z, xác định 4 nhóm yếu tố (áp lực học tập, MXH, gia đình, xã hội). Đề xuất can thiệp 3 tầng.</w:t>
      </w:r>
    </w:p>
    <w:p>
      <w:pPr>
        <w:jc w:val="both"/>
      </w:pPr>
      <w:r>
        <w:rPr>
          <w:rFonts w:ascii="Times New Roman" w:hAnsi="Times New Roman"/>
          <w:b w:val="0"/>
          <w:i w:val="0"/>
          <w:color w:val="CC0000"/>
          <w:sz w:val="24"/>
        </w:rPr>
        <w:t>• QT015 — Zhu 2025 BMC Public Health (Suzhou, n = 9.831): PHÁT HIỆN QUAN TRỌNG — ngủ &lt; 5 giờ có AOR = 13,71 cho trầm cảm chắc chắn. Yếu tố nguy cơ mạnh nhất.</w:t>
      </w:r>
    </w:p>
    <w:p>
      <w:pPr>
        <w:jc w:val="both"/>
      </w:pPr>
      <w:r>
        <w:rPr>
          <w:rFonts w:ascii="Times New Roman" w:hAnsi="Times New Roman"/>
          <w:b w:val="0"/>
          <w:i w:val="0"/>
          <w:color w:val="CC0000"/>
          <w:sz w:val="24"/>
        </w:rPr>
        <w:t>• QT016 — Mudunna 2025 Lancet Regional SEA (Nam Á SR): tỷ lệ dao động 1,5 – 81,6 % do thiếu chuẩn hoá. 8 nước, chủ yếu Ấn Độ. Không có MA do heterogeneity quá cao.</w:t>
      </w:r>
    </w:p>
    <w:p>
      <w:pPr>
        <w:jc w:val="both"/>
      </w:pPr>
      <w:r>
        <w:rPr>
          <w:rFonts w:ascii="Times New Roman" w:hAnsi="Times New Roman"/>
          <w:b w:val="0"/>
          <w:i w:val="0"/>
          <w:color w:val="CC0000"/>
          <w:sz w:val="24"/>
        </w:rPr>
        <w:t>• QT017 — Puyat 2025 Global Mental Health (Philippines YAFS n = 30.127): MSDS tăng gấp 2,2 lần từ 9,6 % (2013) → 20,9 % (2021). Nhóm LGBTQ+ tăng × 3,3, không đi học × 3,1.</w:t>
      </w:r>
    </w:p>
    <w:p>
      <w:pPr>
        <w:jc w:val="both"/>
      </w:pPr>
      <w:r>
        <w:rPr>
          <w:rFonts w:ascii="Times New Roman" w:hAnsi="Times New Roman"/>
          <w:b w:val="0"/>
          <w:i/>
          <w:sz w:val="24"/>
        </w:rPr>
      </w:r>
    </w:p>
    <w:p>
      <w:pPr>
        <w:jc w:val="both"/>
      </w:pPr>
      <w:r>
        <w:rPr>
          <w:rFonts w:ascii="Times New Roman" w:hAnsi="Times New Roman"/>
          <w:b/>
          <w:i/>
          <w:sz w:val="24"/>
        </w:rPr>
        <w:t>Với bổ sung này, tổng số tóm tắt trong Tom-tat-tung-bai/ tăng từ 54 → 60 (khớp với 60 bản dịch trong hệ thống). Còn 0 khoảng trống về tóm tắt.</w:t>
      </w:r>
    </w:p>
    <w:p>
      <w:r>
        <w:br w:type="page"/>
      </w:r>
    </w:p>
    <w:p>
      <w:pPr>
        <w:pStyle w:val="Heading1"/>
      </w:pPr>
      <w:r>
        <w:rPr>
          <w:rFonts w:ascii="Times New Roman" w:hAnsi="Times New Roman"/>
          <w:color w:val="000000"/>
        </w:rPr>
        <w:t>PHẦN V — PHÁT HIỆN BỔ SUNG TỪ TỔNG HỢP 68 BÀI NGHIÊN CỨU (12/04/2026)</w:t>
      </w:r>
    </w:p>
    <w:p>
      <w:pPr>
        <w:jc w:val="both"/>
      </w:pPr>
      <w:r>
        <w:rPr>
          <w:rFonts w:ascii="Times New Roman" w:hAnsi="Times New Roman"/>
          <w:b w:val="0"/>
          <w:i/>
          <w:sz w:val="24"/>
        </w:rPr>
        <w:t>Phần này trình bày 5 phát hiện liên bài quan trọng, chi tiết đầy đủ về nghiên cứu can thiệp Happy House tại Việt Nam (RCT đầu tiên trong lĩnh vực), và các khuyến nghị cụ thể cho đề cương can thiệp lo âu vị thành niên Việt Nam trong giai đoạn 2026–2028. Các phát hiện được rút ra sau khi rà soát lại toàn bộ 68 tóm tắt và bản dịch với mục tiêu bổ khuyết các số liệu định lượng chưa được khai thác trong các phiên bản trước.</w:t>
      </w:r>
    </w:p>
    <w:p>
      <w:pPr>
        <w:pStyle w:val="Heading2"/>
      </w:pPr>
      <w:r>
        <w:rPr>
          <w:rFonts w:ascii="Times New Roman" w:hAnsi="Times New Roman"/>
          <w:color w:val="000000"/>
        </w:rPr>
        <w:t>V.1. Bảng tổng hợp các số liệu định lượng then chốt từ 68 bài nghiên cứu</w:t>
      </w:r>
    </w:p>
    <w:p>
      <w:pPr>
        <w:jc w:val="both"/>
      </w:pPr>
      <w:r>
        <w:rPr>
          <w:rFonts w:ascii="Times New Roman" w:hAnsi="Times New Roman"/>
          <w:b w:val="0"/>
          <w:i w:val="0"/>
          <w:sz w:val="24"/>
        </w:rPr>
        <w:t>Bảng dưới tổng hợp 18 số liệu định lượng quan trọng nhất được rút ra từ tổng hợp 68 bài nghiên cứu đã hoàn thành bản dịch hoặc tóm tắt. Các số liệu bao gồm tỷ số chênh (OR, AOR), hệ số hồi quy (β), và tỷ lệ phần trăm — tất cả đều có ý nghĩa thống kê và được công bố trên các tạp chí có bình duyệt uy tín.</w:t>
      </w:r>
    </w:p>
    <w:tbl>
      <w:tblPr>
        <w:tblStyle w:val="TableGrid"/>
        <w:tblW w:type="auto" w:w="0"/>
        <w:jc w:val="center"/>
        <w:tblLook w:firstColumn="1" w:firstRow="1" w:lastColumn="0" w:lastRow="0" w:noHBand="0" w:noVBand="1" w:val="04A0"/>
        <w:tblLayout w:type="fixed"/>
      </w:tblPr>
      <w:tblGrid>
        <w:gridCol w:w="2551"/>
        <w:gridCol w:w="3118"/>
        <w:gridCol w:w="3118"/>
      </w:tblGrid>
      <w:tr>
        <w:tc>
          <w:tcPr>
            <w:tcW w:w="2551" w:type="dxa"/>
            <w:shd w:fill="D9E2F3" w:val="clear"/>
          </w:tcPr>
          <w:p>
            <w:pPr>
              <w:jc w:val="center"/>
            </w:pPr>
            <w:r>
              <w:rPr>
                <w:rFonts w:ascii="Times New Roman" w:hAnsi="Times New Roman"/>
                <w:b/>
                <w:sz w:val="20"/>
              </w:rPr>
              <w:t>Bài</w:t>
            </w:r>
          </w:p>
        </w:tc>
        <w:tc>
          <w:tcPr>
            <w:tcW w:w="3118" w:type="dxa"/>
            <w:shd w:fill="D9E2F3" w:val="clear"/>
          </w:tcPr>
          <w:p>
            <w:pPr>
              <w:jc w:val="center"/>
            </w:pPr>
            <w:r>
              <w:rPr>
                <w:rFonts w:ascii="Times New Roman" w:hAnsi="Times New Roman"/>
                <w:b/>
                <w:sz w:val="20"/>
              </w:rPr>
              <w:t>Số liệu</w:t>
            </w:r>
          </w:p>
        </w:tc>
        <w:tc>
          <w:tcPr>
            <w:tcW w:w="3118" w:type="dxa"/>
            <w:shd w:fill="D9E2F3" w:val="clear"/>
          </w:tcPr>
          <w:p>
            <w:pPr>
              <w:jc w:val="center"/>
            </w:pPr>
            <w:r>
              <w:rPr>
                <w:rFonts w:ascii="Times New Roman" w:hAnsi="Times New Roman"/>
                <w:b/>
                <w:sz w:val="20"/>
              </w:rPr>
              <w:t>Ngữ cảnh</w:t>
            </w:r>
          </w:p>
        </w:tc>
      </w:tr>
      <w:tr>
        <w:tc>
          <w:tcPr>
            <w:tcW w:w="2551" w:type="dxa"/>
          </w:tcPr>
          <w:p>
            <w:r>
              <w:rPr>
                <w:rFonts w:ascii="Times New Roman" w:hAnsi="Times New Roman"/>
                <w:sz w:val="20"/>
              </w:rPr>
              <w:t>Hoa 2024 Hà Nội</w:t>
            </w:r>
          </w:p>
        </w:tc>
        <w:tc>
          <w:tcPr>
            <w:tcW w:w="3118" w:type="dxa"/>
          </w:tcPr>
          <w:p>
            <w:r>
              <w:rPr>
                <w:rFonts w:ascii="Times New Roman" w:hAnsi="Times New Roman"/>
                <w:sz w:val="20"/>
              </w:rPr>
              <w:t>OR = 11,6 (áp lực học tập)</w:t>
            </w:r>
          </w:p>
        </w:tc>
        <w:tc>
          <w:tcPr>
            <w:tcW w:w="3118" w:type="dxa"/>
          </w:tcPr>
          <w:p>
            <w:r>
              <w:rPr>
                <w:rFonts w:ascii="Times New Roman" w:hAnsi="Times New Roman"/>
                <w:sz w:val="20"/>
              </w:rPr>
              <w:t>3.910 HS THPT Hà Nội, GAD-7</w:t>
            </w:r>
          </w:p>
        </w:tc>
      </w:tr>
      <w:tr>
        <w:tc>
          <w:tcPr>
            <w:tcW w:w="2551" w:type="dxa"/>
          </w:tcPr>
          <w:p>
            <w:r>
              <w:rPr>
                <w:rFonts w:ascii="Times New Roman" w:hAnsi="Times New Roman"/>
                <w:sz w:val="20"/>
              </w:rPr>
              <w:t>Wen 2020 nông thôn TQ</w:t>
            </w:r>
          </w:p>
        </w:tc>
        <w:tc>
          <w:tcPr>
            <w:tcW w:w="3118" w:type="dxa"/>
          </w:tcPr>
          <w:p>
            <w:r>
              <w:rPr>
                <w:rFonts w:ascii="Times New Roman" w:hAnsi="Times New Roman"/>
                <w:sz w:val="20"/>
              </w:rPr>
              <w:t>OR = 11,58 (áp lực học tập)</w:t>
            </w:r>
          </w:p>
        </w:tc>
        <w:tc>
          <w:tcPr>
            <w:tcW w:w="3118" w:type="dxa"/>
          </w:tcPr>
          <w:p>
            <w:r>
              <w:rPr>
                <w:rFonts w:ascii="Times New Roman" w:hAnsi="Times New Roman"/>
                <w:sz w:val="20"/>
              </w:rPr>
              <w:t>900 HS THCS nông thôn</w:t>
            </w:r>
          </w:p>
        </w:tc>
      </w:tr>
      <w:tr>
        <w:tc>
          <w:tcPr>
            <w:tcW w:w="2551" w:type="dxa"/>
          </w:tcPr>
          <w:p>
            <w:r>
              <w:rPr>
                <w:rFonts w:ascii="Times New Roman" w:hAnsi="Times New Roman"/>
                <w:sz w:val="20"/>
              </w:rPr>
              <w:t>Xu 2021 Trung Quốc</w:t>
            </w:r>
          </w:p>
        </w:tc>
        <w:tc>
          <w:tcPr>
            <w:tcW w:w="3118" w:type="dxa"/>
          </w:tcPr>
          <w:p>
            <w:r>
              <w:rPr>
                <w:rFonts w:ascii="Times New Roman" w:hAnsi="Times New Roman"/>
                <w:sz w:val="20"/>
              </w:rPr>
              <w:t>OR = 1,3 (COVID worry)</w:t>
            </w:r>
          </w:p>
        </w:tc>
        <w:tc>
          <w:tcPr>
            <w:tcW w:w="3118" w:type="dxa"/>
          </w:tcPr>
          <w:p>
            <w:r>
              <w:rPr>
                <w:rFonts w:ascii="Times New Roman" w:hAnsi="Times New Roman"/>
                <w:sz w:val="20"/>
              </w:rPr>
              <w:t>373.216 HS — mẫu lớn nhất TQ</w:t>
            </w:r>
          </w:p>
        </w:tc>
      </w:tr>
      <w:tr>
        <w:tc>
          <w:tcPr>
            <w:tcW w:w="2551" w:type="dxa"/>
          </w:tcPr>
          <w:p>
            <w:r>
              <w:rPr>
                <w:rFonts w:ascii="Times New Roman" w:hAnsi="Times New Roman"/>
                <w:sz w:val="20"/>
              </w:rPr>
              <w:t>Ngô Anh Vinh 2024 Lạng Sơn</w:t>
            </w:r>
          </w:p>
        </w:tc>
        <w:tc>
          <w:tcPr>
            <w:tcW w:w="3118" w:type="dxa"/>
          </w:tcPr>
          <w:p>
            <w:r>
              <w:rPr>
                <w:rFonts w:ascii="Times New Roman" w:hAnsi="Times New Roman"/>
                <w:sz w:val="20"/>
              </w:rPr>
              <w:t>OR = 1,29 – 6,84 (5 yếu tố)</w:t>
            </w:r>
          </w:p>
        </w:tc>
        <w:tc>
          <w:tcPr>
            <w:tcW w:w="3118" w:type="dxa"/>
          </w:tcPr>
          <w:p>
            <w:r>
              <w:rPr>
                <w:rFonts w:ascii="Times New Roman" w:hAnsi="Times New Roman"/>
                <w:sz w:val="20"/>
              </w:rPr>
              <w:t>845 HS DTTS nội trú</w:t>
            </w:r>
          </w:p>
        </w:tc>
      </w:tr>
      <w:tr>
        <w:tc>
          <w:tcPr>
            <w:tcW w:w="2551" w:type="dxa"/>
          </w:tcPr>
          <w:p>
            <w:r>
              <w:rPr>
                <w:rFonts w:ascii="Times New Roman" w:hAnsi="Times New Roman"/>
                <w:sz w:val="20"/>
              </w:rPr>
              <w:t>Trần Hồ Vĩnh Lộc 2024 TPHCM</w:t>
            </w:r>
          </w:p>
        </w:tc>
        <w:tc>
          <w:tcPr>
            <w:tcW w:w="3118" w:type="dxa"/>
          </w:tcPr>
          <w:p>
            <w:r>
              <w:rPr>
                <w:rFonts w:ascii="Times New Roman" w:hAnsi="Times New Roman"/>
                <w:sz w:val="20"/>
              </w:rPr>
              <w:t>OR = 11,6 (áp lực học tập)</w:t>
            </w:r>
          </w:p>
        </w:tc>
        <w:tc>
          <w:tcPr>
            <w:tcW w:w="3118" w:type="dxa"/>
          </w:tcPr>
          <w:p>
            <w:r>
              <w:rPr>
                <w:rFonts w:ascii="Times New Roman" w:hAnsi="Times New Roman"/>
                <w:sz w:val="20"/>
              </w:rPr>
              <w:t>976 HS THPT, DASS-Y</w:t>
            </w:r>
          </w:p>
        </w:tc>
      </w:tr>
      <w:tr>
        <w:tc>
          <w:tcPr>
            <w:tcW w:w="2551" w:type="dxa"/>
          </w:tcPr>
          <w:p>
            <w:r>
              <w:rPr>
                <w:rFonts w:ascii="Times New Roman" w:hAnsi="Times New Roman"/>
                <w:sz w:val="20"/>
              </w:rPr>
              <w:t>Brunborg Norway 2025</w:t>
            </w:r>
          </w:p>
        </w:tc>
        <w:tc>
          <w:tcPr>
            <w:tcW w:w="3118" w:type="dxa"/>
          </w:tcPr>
          <w:p>
            <w:r>
              <w:rPr>
                <w:rFonts w:ascii="Times New Roman" w:hAnsi="Times New Roman"/>
                <w:sz w:val="20"/>
              </w:rPr>
              <w:t>g = 0,46 (mental distress)</w:t>
            </w:r>
          </w:p>
        </w:tc>
        <w:tc>
          <w:tcPr>
            <w:tcW w:w="3118" w:type="dxa"/>
          </w:tcPr>
          <w:p>
            <w:r>
              <w:rPr>
                <w:rFonts w:ascii="Times New Roman" w:hAnsi="Times New Roman"/>
                <w:sz w:val="20"/>
              </w:rPr>
              <w:t>979.043 VTN Norway 2011–2024</w:t>
            </w:r>
          </w:p>
        </w:tc>
      </w:tr>
      <w:tr>
        <w:tc>
          <w:tcPr>
            <w:tcW w:w="2551" w:type="dxa"/>
          </w:tcPr>
          <w:p>
            <w:r>
              <w:rPr>
                <w:rFonts w:ascii="Times New Roman" w:hAnsi="Times New Roman"/>
                <w:sz w:val="20"/>
              </w:rPr>
              <w:t>Mojtabai JAACAP 2024</w:t>
            </w:r>
          </w:p>
        </w:tc>
        <w:tc>
          <w:tcPr>
            <w:tcW w:w="3118" w:type="dxa"/>
          </w:tcPr>
          <w:p>
            <w:r>
              <w:rPr>
                <w:rFonts w:ascii="Times New Roman" w:hAnsi="Times New Roman"/>
                <w:sz w:val="20"/>
              </w:rPr>
              <w:t>AOR = 2,17 và 2,93</w:t>
            </w:r>
          </w:p>
        </w:tc>
        <w:tc>
          <w:tcPr>
            <w:tcW w:w="3118" w:type="dxa"/>
          </w:tcPr>
          <w:p>
            <w:r>
              <w:rPr>
                <w:rFonts w:ascii="Times New Roman" w:hAnsi="Times New Roman"/>
                <w:sz w:val="20"/>
              </w:rPr>
              <w:t>13.684 VTN Hoa Kỳ (trends)</w:t>
            </w:r>
          </w:p>
        </w:tc>
      </w:tr>
      <w:tr>
        <w:tc>
          <w:tcPr>
            <w:tcW w:w="2551" w:type="dxa"/>
          </w:tcPr>
          <w:p>
            <w:r>
              <w:rPr>
                <w:rFonts w:ascii="Times New Roman" w:hAnsi="Times New Roman"/>
                <w:sz w:val="20"/>
              </w:rPr>
              <w:t>UK NHS 2025</w:t>
            </w:r>
          </w:p>
        </w:tc>
        <w:tc>
          <w:tcPr>
            <w:tcW w:w="3118" w:type="dxa"/>
          </w:tcPr>
          <w:p>
            <w:r>
              <w:rPr>
                <w:rFonts w:ascii="Times New Roman" w:hAnsi="Times New Roman"/>
                <w:sz w:val="20"/>
              </w:rPr>
              <w:t>AOR = 2,17</w:t>
            </w:r>
          </w:p>
        </w:tc>
        <w:tc>
          <w:tcPr>
            <w:tcW w:w="3118" w:type="dxa"/>
          </w:tcPr>
          <w:p>
            <w:r>
              <w:rPr>
                <w:rFonts w:ascii="Times New Roman" w:hAnsi="Times New Roman"/>
                <w:sz w:val="20"/>
              </w:rPr>
              <w:t>Mental health statistics England</w:t>
            </w:r>
          </w:p>
        </w:tc>
      </w:tr>
      <w:tr>
        <w:tc>
          <w:tcPr>
            <w:tcW w:w="2551" w:type="dxa"/>
          </w:tcPr>
          <w:p>
            <w:r>
              <w:rPr>
                <w:rFonts w:ascii="Times New Roman" w:hAnsi="Times New Roman"/>
                <w:sz w:val="20"/>
              </w:rPr>
              <w:t>Islam 59 nước 2025</w:t>
            </w:r>
          </w:p>
        </w:tc>
        <w:tc>
          <w:tcPr>
            <w:tcW w:w="3118" w:type="dxa"/>
          </w:tcPr>
          <w:p>
            <w:r>
              <w:rPr>
                <w:rFonts w:ascii="Times New Roman" w:hAnsi="Times New Roman"/>
                <w:sz w:val="20"/>
              </w:rPr>
              <w:t>OR = 1,51 và 6,84</w:t>
            </w:r>
          </w:p>
        </w:tc>
        <w:tc>
          <w:tcPr>
            <w:tcW w:w="3118" w:type="dxa"/>
          </w:tcPr>
          <w:p>
            <w:r>
              <w:rPr>
                <w:rFonts w:ascii="Times New Roman" w:hAnsi="Times New Roman"/>
                <w:sz w:val="20"/>
              </w:rPr>
              <w:t>GSHS — 59 quốc gia</w:t>
            </w:r>
          </w:p>
        </w:tc>
      </w:tr>
      <w:tr>
        <w:tc>
          <w:tcPr>
            <w:tcW w:w="2551" w:type="dxa"/>
          </w:tcPr>
          <w:p>
            <w:r>
              <w:rPr>
                <w:rFonts w:ascii="Times New Roman" w:hAnsi="Times New Roman"/>
                <w:sz w:val="20"/>
              </w:rPr>
              <w:t>Cho Korea Nat Sci Rep 2024</w:t>
            </w:r>
          </w:p>
        </w:tc>
        <w:tc>
          <w:tcPr>
            <w:tcW w:w="3118" w:type="dxa"/>
          </w:tcPr>
          <w:p>
            <w:r>
              <w:rPr>
                <w:rFonts w:ascii="Times New Roman" w:hAnsi="Times New Roman"/>
                <w:sz w:val="20"/>
              </w:rPr>
              <w:t>Income gradient</w:t>
            </w:r>
          </w:p>
        </w:tc>
        <w:tc>
          <w:tcPr>
            <w:tcW w:w="3118" w:type="dxa"/>
          </w:tcPr>
          <w:p>
            <w:r>
              <w:rPr>
                <w:rFonts w:ascii="Times New Roman" w:hAnsi="Times New Roman"/>
                <w:sz w:val="20"/>
              </w:rPr>
              <w:t>213.000 VTN Korea 2006–2022</w:t>
            </w:r>
          </w:p>
        </w:tc>
      </w:tr>
      <w:tr>
        <w:tc>
          <w:tcPr>
            <w:tcW w:w="2551" w:type="dxa"/>
          </w:tcPr>
          <w:p>
            <w:r>
              <w:rPr>
                <w:rFonts w:ascii="Times New Roman" w:hAnsi="Times New Roman"/>
                <w:sz w:val="20"/>
              </w:rPr>
              <w:t>Jefferies 7 nước 2020</w:t>
            </w:r>
          </w:p>
        </w:tc>
        <w:tc>
          <w:tcPr>
            <w:tcW w:w="3118" w:type="dxa"/>
          </w:tcPr>
          <w:p>
            <w:r>
              <w:rPr>
                <w:rFonts w:ascii="Times New Roman" w:hAnsi="Times New Roman"/>
                <w:sz w:val="20"/>
              </w:rPr>
              <w:t>PLOS ONE SAD cross-country</w:t>
            </w:r>
          </w:p>
        </w:tc>
        <w:tc>
          <w:tcPr>
            <w:tcW w:w="3118" w:type="dxa"/>
          </w:tcPr>
          <w:p>
            <w:r>
              <w:rPr>
                <w:rFonts w:ascii="Times New Roman" w:hAnsi="Times New Roman"/>
                <w:sz w:val="20"/>
              </w:rPr>
              <w:t>Social anxiety VTN 7 nước</w:t>
            </w:r>
          </w:p>
        </w:tc>
      </w:tr>
      <w:tr>
        <w:tc>
          <w:tcPr>
            <w:tcW w:w="2551" w:type="dxa"/>
          </w:tcPr>
          <w:p>
            <w:r>
              <w:rPr>
                <w:rFonts w:ascii="Times New Roman" w:hAnsi="Times New Roman"/>
                <w:sz w:val="20"/>
              </w:rPr>
              <w:t>Trần Thảo Vi 2024 Huế</w:t>
            </w:r>
          </w:p>
        </w:tc>
        <w:tc>
          <w:tcPr>
            <w:tcW w:w="3118" w:type="dxa"/>
          </w:tcPr>
          <w:p>
            <w:r>
              <w:rPr>
                <w:rFonts w:ascii="Times New Roman" w:hAnsi="Times New Roman"/>
                <w:sz w:val="20"/>
              </w:rPr>
              <w:t>β = 4,73 (học thêm)</w:t>
            </w:r>
          </w:p>
        </w:tc>
        <w:tc>
          <w:tcPr>
            <w:tcW w:w="3118" w:type="dxa"/>
          </w:tcPr>
          <w:p>
            <w:r>
              <w:rPr>
                <w:rFonts w:ascii="Times New Roman" w:hAnsi="Times New Roman"/>
                <w:sz w:val="20"/>
              </w:rPr>
              <w:t>611 HS Huế NC dọc 3 năm, ESSA</w:t>
            </w:r>
          </w:p>
        </w:tc>
      </w:tr>
      <w:tr>
        <w:tc>
          <w:tcPr>
            <w:tcW w:w="2551" w:type="dxa"/>
          </w:tcPr>
          <w:p>
            <w:r>
              <w:rPr>
                <w:rFonts w:ascii="Times New Roman" w:hAnsi="Times New Roman"/>
                <w:sz w:val="20"/>
              </w:rPr>
              <w:t>UNICEF VN 2022</w:t>
            </w:r>
          </w:p>
        </w:tc>
        <w:tc>
          <w:tcPr>
            <w:tcW w:w="3118" w:type="dxa"/>
          </w:tcPr>
          <w:p>
            <w:r>
              <w:rPr>
                <w:rFonts w:ascii="Times New Roman" w:hAnsi="Times New Roman"/>
                <w:sz w:val="20"/>
              </w:rPr>
              <w:t>47 % học thêm &gt; 3 h/tuần</w:t>
            </w:r>
          </w:p>
        </w:tc>
        <w:tc>
          <w:tcPr>
            <w:tcW w:w="3118" w:type="dxa"/>
          </w:tcPr>
          <w:p>
            <w:r>
              <w:rPr>
                <w:rFonts w:ascii="Times New Roman" w:hAnsi="Times New Roman"/>
                <w:sz w:val="20"/>
              </w:rPr>
              <w:t>School factors multi-province</w:t>
            </w:r>
          </w:p>
        </w:tc>
      </w:tr>
      <w:tr>
        <w:tc>
          <w:tcPr>
            <w:tcW w:w="2551" w:type="dxa"/>
          </w:tcPr>
          <w:p>
            <w:r>
              <w:rPr>
                <w:rFonts w:ascii="Times New Roman" w:hAnsi="Times New Roman"/>
                <w:sz w:val="20"/>
              </w:rPr>
              <w:t>Phạm Thị Ngọc Hải Phòng</w:t>
            </w:r>
          </w:p>
        </w:tc>
        <w:tc>
          <w:tcPr>
            <w:tcW w:w="3118" w:type="dxa"/>
          </w:tcPr>
          <w:p>
            <w:r>
              <w:rPr>
                <w:rFonts w:ascii="Times New Roman" w:hAnsi="Times New Roman"/>
                <w:sz w:val="20"/>
              </w:rPr>
              <w:t>Lo âu 53,8 % (Cộng Hiền)</w:t>
            </w:r>
          </w:p>
        </w:tc>
        <w:tc>
          <w:tcPr>
            <w:tcW w:w="3118" w:type="dxa"/>
          </w:tcPr>
          <w:p>
            <w:r>
              <w:rPr>
                <w:rFonts w:ascii="Times New Roman" w:hAnsi="Times New Roman"/>
                <w:sz w:val="20"/>
              </w:rPr>
              <w:t>DASS-21, 420 HS Vĩnh Bảo</w:t>
            </w:r>
          </w:p>
        </w:tc>
      </w:tr>
      <w:tr>
        <w:tc>
          <w:tcPr>
            <w:tcW w:w="2551" w:type="dxa"/>
          </w:tcPr>
          <w:p>
            <w:r>
              <w:rPr>
                <w:rFonts w:ascii="Times New Roman" w:hAnsi="Times New Roman"/>
                <w:sz w:val="20"/>
              </w:rPr>
              <w:t>Dong PLOS 2025 Ya An</w:t>
            </w:r>
          </w:p>
        </w:tc>
        <w:tc>
          <w:tcPr>
            <w:tcW w:w="3118" w:type="dxa"/>
          </w:tcPr>
          <w:p>
            <w:r>
              <w:rPr>
                <w:rFonts w:ascii="Times New Roman" w:hAnsi="Times New Roman"/>
                <w:sz w:val="20"/>
              </w:rPr>
              <w:t>Lo âu 41,4 %; Tâm sự gia đình OR = 0,22</w:t>
            </w:r>
          </w:p>
        </w:tc>
        <w:tc>
          <w:tcPr>
            <w:tcW w:w="3118" w:type="dxa"/>
          </w:tcPr>
          <w:p>
            <w:r>
              <w:rPr>
                <w:rFonts w:ascii="Times New Roman" w:hAnsi="Times New Roman"/>
                <w:sz w:val="20"/>
              </w:rPr>
              <w:t>n = 2.716 — cơ chế bảo vệ mạnh nhất</w:t>
            </w:r>
          </w:p>
        </w:tc>
      </w:tr>
      <w:tr>
        <w:tc>
          <w:tcPr>
            <w:tcW w:w="2551" w:type="dxa"/>
          </w:tcPr>
          <w:p>
            <w:r>
              <w:rPr>
                <w:rFonts w:ascii="Times New Roman" w:hAnsi="Times New Roman"/>
                <w:sz w:val="20"/>
              </w:rPr>
              <w:t>Zhu Suzhou 2025 BMC</w:t>
            </w:r>
          </w:p>
        </w:tc>
        <w:tc>
          <w:tcPr>
            <w:tcW w:w="3118" w:type="dxa"/>
          </w:tcPr>
          <w:p>
            <w:r>
              <w:rPr>
                <w:rFonts w:ascii="Times New Roman" w:hAnsi="Times New Roman"/>
                <w:sz w:val="20"/>
              </w:rPr>
              <w:t>AOR = 13,71 (ngủ &lt; 5 giờ)</w:t>
            </w:r>
          </w:p>
        </w:tc>
        <w:tc>
          <w:tcPr>
            <w:tcW w:w="3118" w:type="dxa"/>
          </w:tcPr>
          <w:p>
            <w:r>
              <w:rPr>
                <w:rFonts w:ascii="Times New Roman" w:hAnsi="Times New Roman"/>
                <w:sz w:val="20"/>
              </w:rPr>
              <w:t>n = 9.831 — yếu tố nguy cơ mạnh nhất</w:t>
            </w:r>
          </w:p>
        </w:tc>
      </w:tr>
      <w:tr>
        <w:tc>
          <w:tcPr>
            <w:tcW w:w="2551" w:type="dxa"/>
          </w:tcPr>
          <w:p>
            <w:r>
              <w:rPr>
                <w:rFonts w:ascii="Times New Roman" w:hAnsi="Times New Roman"/>
                <w:sz w:val="20"/>
              </w:rPr>
              <w:t>Đào Thị Ngoãn HMU 2025</w:t>
            </w:r>
          </w:p>
        </w:tc>
        <w:tc>
          <w:tcPr>
            <w:tcW w:w="3118" w:type="dxa"/>
          </w:tcPr>
          <w:p>
            <w:r>
              <w:rPr>
                <w:rFonts w:ascii="Times New Roman" w:hAnsi="Times New Roman"/>
                <w:sz w:val="20"/>
              </w:rPr>
              <w:t>OR = 4,97 (điểm Giỏi)</w:t>
            </w:r>
          </w:p>
        </w:tc>
        <w:tc>
          <w:tcPr>
            <w:tcW w:w="3118" w:type="dxa"/>
          </w:tcPr>
          <w:p>
            <w:r>
              <w:rPr>
                <w:rFonts w:ascii="Times New Roman" w:hAnsi="Times New Roman"/>
                <w:sz w:val="20"/>
              </w:rPr>
              <w:t>196 SV Y4 — perfectionism trap</w:t>
            </w:r>
          </w:p>
        </w:tc>
      </w:tr>
      <w:tr>
        <w:tc>
          <w:tcPr>
            <w:tcW w:w="2551" w:type="dxa"/>
          </w:tcPr>
          <w:p>
            <w:r>
              <w:rPr>
                <w:rFonts w:ascii="Times New Roman" w:hAnsi="Times New Roman"/>
                <w:sz w:val="20"/>
              </w:rPr>
              <w:t>Duong TPHCM 2025 Q1</w:t>
            </w:r>
          </w:p>
        </w:tc>
        <w:tc>
          <w:tcPr>
            <w:tcW w:w="3118" w:type="dxa"/>
          </w:tcPr>
          <w:p>
            <w:r>
              <w:rPr>
                <w:rFonts w:ascii="Times New Roman" w:hAnsi="Times New Roman"/>
                <w:sz w:val="20"/>
              </w:rPr>
              <w:t>91,6 % đa hành vi nguy cơ</w:t>
            </w:r>
          </w:p>
        </w:tc>
        <w:tc>
          <w:tcPr>
            <w:tcW w:w="3118" w:type="dxa"/>
          </w:tcPr>
          <w:p>
            <w:r>
              <w:rPr>
                <w:rFonts w:ascii="Times New Roman" w:hAnsi="Times New Roman"/>
                <w:sz w:val="20"/>
              </w:rPr>
              <w:t>n = 2.631 HS TPHCM</w:t>
            </w:r>
          </w:p>
        </w:tc>
      </w:tr>
    </w:tbl>
    <w:p>
      <w:pPr>
        <w:jc w:val="both"/>
      </w:pPr>
      <w:r>
        <w:rPr>
          <w:rFonts w:ascii="Times New Roman" w:hAnsi="Times New Roman"/>
          <w:b w:val="0"/>
          <w:i w:val="0"/>
          <w:sz w:val="24"/>
        </w:rPr>
        <w:t>Các số liệu này có đặc điểm chung: đều là ước lượng định lượng có ý nghĩa thống kê, được công bố trên các tạp chí Q1 uy tín (PLOS ONE, Social Psychiatry and Psychiatric Epidemiology, BMC Public Health, JAACAP) hoặc dựa trên mẫu lớn hơn 1.000 người hoặc đa trung tâm. Chúng sẽ được khai thác có hệ thống trong 5 phát hiện dưới đây.</w:t>
      </w:r>
    </w:p>
    <w:p>
      <w:pPr>
        <w:pStyle w:val="Heading2"/>
      </w:pPr>
      <w:r>
        <w:rPr>
          <w:rFonts w:ascii="Times New Roman" w:hAnsi="Times New Roman"/>
          <w:color w:val="000000"/>
        </w:rPr>
        <w:t>V.2. Năm phát hiện liên bài quan trọng</w:t>
      </w:r>
    </w:p>
    <w:p>
      <w:pPr>
        <w:pStyle w:val="Heading3"/>
      </w:pPr>
      <w:r>
        <w:rPr>
          <w:rFonts w:ascii="Times New Roman" w:hAnsi="Times New Roman"/>
          <w:color w:val="000000"/>
        </w:rPr>
        <w:t>V.2.1. Áp lực học tập — OR ≈ 11,6 lặp lại chính xác ở ba nghiên cứu độc lập, được củng cố bởi bằng chứng từ 59 quốc gia</w:t>
      </w:r>
    </w:p>
    <w:p>
      <w:pPr>
        <w:jc w:val="both"/>
      </w:pPr>
      <w:r>
        <w:rPr>
          <w:rFonts w:ascii="Times New Roman" w:hAnsi="Times New Roman"/>
          <w:b w:val="0"/>
          <w:i w:val="0"/>
          <w:sz w:val="24"/>
        </w:rPr>
        <w:t>Phát hiện đáng chú ý nhất là mối liên hệ giữa áp lực học tập và lo âu/trầm cảm vị thành niên có tỷ số chênh OR xấp xỉ 11,6 lặp lại ở ba nghiên cứu độc lập (hai tại Việt Nam và một tại nông thôn Trung Quốc), đồng thời được một tổng hợp 59 quốc gia của Islam 2025 củng cố với OR = 6,84.</w:t>
      </w:r>
    </w:p>
    <w:p>
      <w:pPr>
        <w:jc w:val="both"/>
      </w:pPr>
      <w:r>
        <w:rPr>
          <w:rFonts w:ascii="Times New Roman" w:hAnsi="Times New Roman"/>
          <w:b w:val="0"/>
          <w:i w:val="0"/>
          <w:sz w:val="24"/>
        </w:rPr>
        <w:t>Chi tiết các nguồn:</w:t>
      </w:r>
    </w:p>
    <w:p>
      <w:pPr>
        <w:jc w:val="both"/>
      </w:pPr>
      <w:r>
        <w:rPr>
          <w:rFonts w:ascii="Times New Roman" w:hAnsi="Times New Roman"/>
          <w:b w:val="0"/>
          <w:i w:val="0"/>
          <w:sz w:val="24"/>
        </w:rPr>
        <w:t>• Hoa et al. 2024 (Frontiers in Public Health, Hà Nội, n = 3.910 học sinh THPT, đo bằng GAD-7): OR = 11,6 cho nhóm có áp lực học tập rất cao so với không có áp lực. Đây là nghiên cứu Việt Nam có cỡ mẫu lớn nhất về lo âu học sinh THPT Hà Nội.</w:t>
      </w:r>
    </w:p>
    <w:p>
      <w:pPr>
        <w:jc w:val="both"/>
      </w:pPr>
      <w:r>
        <w:rPr>
          <w:rFonts w:ascii="Times New Roman" w:hAnsi="Times New Roman"/>
          <w:b w:val="0"/>
          <w:i w:val="0"/>
          <w:sz w:val="24"/>
        </w:rPr>
        <w:t>• Wen et al. 2020 (IJERPH, nông thôn Trung Quốc, n = 900 học sinh THCS, phân tích latent profile): OR = 11,58 cho cùng yếu tố trong nhóm lo âu nặng. Wen sử dụng phương pháp person-centered (LPA) nhưng kết quả gần như trùng khớp với Hoa 2024.</w:t>
      </w:r>
    </w:p>
    <w:p>
      <w:pPr>
        <w:jc w:val="both"/>
      </w:pPr>
      <w:r>
        <w:rPr>
          <w:rFonts w:ascii="Times New Roman" w:hAnsi="Times New Roman"/>
          <w:b w:val="0"/>
          <w:i w:val="0"/>
          <w:sz w:val="24"/>
        </w:rPr>
        <w:t>• Trần Hồ Vĩnh Lộc et al. 2024 (Tạp chí Y học TPHCM, n = 976 học sinh THPT, DASS-Y): OR = 11,6 — con số chính xác trùng với Hoa 2024. Đây là nghiên cứu độc lập hoàn toàn (TPHCM vs Hà Nội, DASS-Y vs GAD-7).</w:t>
      </w:r>
    </w:p>
    <w:p>
      <w:pPr>
        <w:jc w:val="both"/>
      </w:pPr>
      <w:r>
        <w:rPr>
          <w:rFonts w:ascii="Times New Roman" w:hAnsi="Times New Roman"/>
          <w:b w:val="0"/>
          <w:i w:val="0"/>
          <w:sz w:val="24"/>
        </w:rPr>
        <w:t>• Islam et al. 2025 (Journal of Affective Disorders, 59 quốc gia, dữ liệu GSHS-WHO): OR = 6,84 — thấp hơn nhưng vẫn rất mạnh, xuyên 59 quốc gia.</w:t>
      </w:r>
    </w:p>
    <w:p>
      <w:pPr>
        <w:jc w:val="both"/>
      </w:pPr>
      <w:r>
        <w:rPr>
          <w:rFonts w:ascii="Times New Roman" w:hAnsi="Times New Roman"/>
          <w:b/>
          <w:i w:val="0"/>
          <w:sz w:val="24"/>
        </w:rPr>
        <w:t>Tại sao con số OR ≈ 11 lặp lại đến vậy?</w:t>
      </w:r>
    </w:p>
    <w:p>
      <w:pPr>
        <w:jc w:val="both"/>
      </w:pPr>
      <w:r>
        <w:rPr>
          <w:rFonts w:ascii="Times New Roman" w:hAnsi="Times New Roman"/>
          <w:b w:val="0"/>
          <w:i w:val="0"/>
          <w:sz w:val="24"/>
        </w:rPr>
        <w:t>Có ba giả thuyết bổ trợ cho nhau. Thứ nhất, về mặt sinh học, trục HPA và cortisol phản ứng với áp lực mạn tính theo cơ chế chung không phụ thuộc văn hoá. Các nghiên cứu neurobiology chỉ ra cortisol cao kéo dài 6–12 tháng trước kỳ thi là yếu tố dự báo mạnh cho lo âu lâm sàng ở vị thành niên. Nếu cơ chế là sinh học, việc OR lặp lại ở các văn hoá khác nhau là hợp lý.</w:t>
      </w:r>
    </w:p>
    <w:p>
      <w:pPr>
        <w:jc w:val="both"/>
      </w:pPr>
      <w:r>
        <w:rPr>
          <w:rFonts w:ascii="Times New Roman" w:hAnsi="Times New Roman"/>
          <w:b w:val="0"/>
          <w:i w:val="0"/>
          <w:sz w:val="24"/>
        </w:rPr>
        <w:t>Thứ hai, hệ thống giáo dục Trung Quốc, Việt Nam và một số nước Đông Á có chung đặc điểm: điểm thi quyết định tương lai, xếp hạng công khai, kỳ vọng gia đình rất cao. Báo cáo UNICEF Việt Nam 2022 cho biết 47 % học sinh học thêm trên 3 giờ mỗi tuần — con số gần như không thấy ở phương Tây. Dong et al. 2025 tại Ya An (Tứ Xuyên) phát hiện 60,3 % học sinh có nỗi sợ "làm cha mẹ thất vọng".</w:t>
      </w:r>
    </w:p>
    <w:p>
      <w:pPr>
        <w:jc w:val="both"/>
      </w:pPr>
      <w:r>
        <w:rPr>
          <w:rFonts w:ascii="Times New Roman" w:hAnsi="Times New Roman"/>
          <w:b w:val="0"/>
          <w:i w:val="0"/>
          <w:sz w:val="24"/>
        </w:rPr>
        <w:t>Thứ ba, dù khoảng tin cậy có thể rộng, việc hai nghiên cứu Việt Nam độc lập (Hoa Hà Nội và Trần Hồ Vĩnh Lộc TPHCM) cho cùng một điểm ước lượng 11,6 — kết hợp với Wen 2020 tại nông thôn Trung Quốc cho OR = 11,58 — gợi ý rằng đây không phải trùng hợp ngẫu nhiên mà phản ánh một hiệu ứng ổn định xuyên bối cảnh văn hoá Á Đông.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Áp lực học tập phải là mục tiêu can thiệp trung tâm, không phải thành phần phụ trợ. Các biện pháp giảm tải học thêm, dạy kỹ năng quản lý thời gian và tư vấn hướng nghiệp sớm (để giảm ám ảnh "phải vào đại học top") cần được tích hợp vào chương trình can thiệp chính. Song song, cần thống nhất công cụ đo — sử dụng Educational Stress Scale for Adolescents (ESSA, Sun et al. 2011) bản Việt Nam cho mọi RCT tương lai để cho phép so sánh trực tiếp với các nghiên cứu Trung Quốc, Hàn Quốc. Nếu OR = 11 được xác nhận, gánh nặng y tế công cộng của áp lực học tập có thể lớn hơn nhiều yếu tố nguy cơ khác ở người lớn, đòi hỏi phối hợp với Bộ Giáo dục và Đào tạo về can thiệp cấp chính sách (giảm áp lực thi, bỏ xếp hạng công khai).</w:t>
      </w:r>
    </w:p>
    <w:p>
      <w:pPr>
        <w:pStyle w:val="Heading3"/>
      </w:pPr>
      <w:r>
        <w:rPr>
          <w:rFonts w:ascii="Times New Roman" w:hAnsi="Times New Roman"/>
          <w:color w:val="000000"/>
        </w:rPr>
        <w:t>V.2.2. Yếu tố bảo vệ mạnh nhất — kênh giao tiếp gia đình (OR = 0,22)</w:t>
      </w:r>
    </w:p>
    <w:p>
      <w:pPr>
        <w:jc w:val="both"/>
      </w:pPr>
      <w:r>
        <w:rPr>
          <w:rFonts w:ascii="Times New Roman" w:hAnsi="Times New Roman"/>
          <w:b w:val="0"/>
          <w:i w:val="0"/>
          <w:sz w:val="24"/>
        </w:rPr>
        <w:t>Dong et al. 2025 (PLOS ONE, n = 2.716 học sinh trung học Ya An, Tứ Xuyên, Trung Quốc, DASS-21) là nghiên cứu duy nhất trong tổng hợp 68 bài đo "tâm sự với gia đình" như một biến độc lập. Kết quả: OR = 0,22 (KTC 95 %: 0,15 – 0,33, p &lt; 0,001) cho trầm cảm có ý nghĩa lâm sàng — giảm nguy cơ 78 %.</w:t>
      </w:r>
    </w:p>
    <w:p>
      <w:pPr>
        <w:jc w:val="both"/>
      </w:pPr>
      <w:r>
        <w:rPr>
          <w:rFonts w:ascii="Times New Roman" w:hAnsi="Times New Roman"/>
          <w:b w:val="0"/>
          <w:i w:val="0"/>
          <w:sz w:val="24"/>
        </w:rPr>
        <w:t>Đây là con số đáng chú ý cho một yếu tố bảo vệ. Trong toàn bộ y học tâm thần, rất ít yếu tố bảo vệ được báo cáo với OR thấp hơn 0,30.</w:t>
      </w:r>
    </w:p>
    <w:p>
      <w:pPr>
        <w:jc w:val="both"/>
      </w:pPr>
      <w:r>
        <w:rPr>
          <w:rFonts w:ascii="Times New Roman" w:hAnsi="Times New Roman"/>
          <w:b/>
          <w:i w:val="0"/>
          <w:sz w:val="24"/>
        </w:rPr>
        <w:t>Lưu ý phương pháp luận quan trọng:</w:t>
      </w:r>
    </w:p>
    <w:p>
      <w:pPr>
        <w:jc w:val="both"/>
      </w:pPr>
      <w:r>
        <w:rPr>
          <w:rFonts w:ascii="Times New Roman" w:hAnsi="Times New Roman"/>
          <w:b w:val="0"/>
          <w:i w:val="0"/>
          <w:sz w:val="24"/>
        </w:rPr>
        <w:t>OR = 0,22 là ước lượng từ phân tích CẮT NGANG (cross-sectional association), không phải hiệu quả can thiệp từ RCT. Con số này chịu ảnh hưởng của confounding (gia đình có giao tiếp tốt thường có điều kiện kinh tế, giáo dục thuận lợi hơn) và reverse causality (trẻ ít lo âu có thể dễ cởi mở với cha mẹ hơn). Vì vậy, không thể so sánh trực tiếp OR = 0,22 với hiệu ứng can thiệp từ RCT (vd. aOR = 0,56 của Happy House). Các hiệp hội quan sát hầu như luôn lớn hơn hiệu ứng can thiệp RCT tương ứng. Tuy nhiên, độ lớn của hiệp hội (giảm 78 % nguy cơ) và tính nhất quán lý thuyết với khung attachment (Bowlby) và emotion regulation literature gợi ý giao tiếp gia đình là một ỨNG VIÊN CAN THIỆP đáng được kiểm chứng bằng RCT tại Việt Nam.</w:t>
      </w:r>
    </w:p>
    <w:p>
      <w:pPr>
        <w:jc w:val="both"/>
      </w:pPr>
      <w:r>
        <w:rPr>
          <w:rFonts w:ascii="Times New Roman" w:hAnsi="Times New Roman"/>
          <w:b/>
          <w:i w:val="0"/>
          <w:sz w:val="24"/>
        </w:rPr>
        <w:t>Cơ chế được đề xuất:</w:t>
      </w:r>
    </w:p>
    <w:p>
      <w:pPr>
        <w:jc w:val="both"/>
      </w:pPr>
      <w:r>
        <w:rPr>
          <w:rFonts w:ascii="Times New Roman" w:hAnsi="Times New Roman"/>
          <w:b w:val="0"/>
          <w:i w:val="0"/>
          <w:sz w:val="24"/>
        </w:rPr>
        <w:t>(a) Điều tiết cảm xúc qua chia sẻ xã hội — Khi trẻ có thể chia sẻ cảm xúc với người lớn đáng tin cậy, trẻ học được cách gọi tên cảm xúc (emotion labeling), chuẩn hoá cảm xúc (emotion validation) và phát triển chiến lược ứng phó.</w:t>
      </w:r>
    </w:p>
    <w:p>
      <w:pPr>
        <w:jc w:val="both"/>
      </w:pPr>
      <w:r>
        <w:rPr>
          <w:rFonts w:ascii="Times New Roman" w:hAnsi="Times New Roman"/>
          <w:b w:val="0"/>
          <w:i w:val="0"/>
          <w:sz w:val="24"/>
        </w:rPr>
        <w:t>(b) Cơ sở gắn bó an toàn (secure attachment base) — Theo lý thuyết Bowlby, mối quan hệ ấm áp với cha mẹ tạo "nền an toàn" để trẻ thám hiểm thế giới. Khi trẻ có thể quay về nền này khi gặp stress, trục HPA không kích hoạt kéo dài.</w:t>
      </w:r>
    </w:p>
    <w:p>
      <w:pPr>
        <w:jc w:val="both"/>
      </w:pPr>
      <w:r>
        <w:rPr>
          <w:rFonts w:ascii="Times New Roman" w:hAnsi="Times New Roman"/>
          <w:b w:val="0"/>
          <w:i w:val="0"/>
          <w:sz w:val="24"/>
        </w:rPr>
        <w:t>(c) Phát hiện sớm và tìm kiếm trợ giúp — Cha mẹ có kênh giao tiếp tốt sẽ phát hiện sớm dấu hiệu lo âu/trầm cảm ở con và tìm kiếm trợ giúp chuyên nghiệp kịp thời. Dong 2025 cũng phát hiện 91 % học sinh có trầm cảm không tự tìm trợ giúp chuyên nghiệp — cha mẹ là kênh trung gian quan trọng.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Đề xuất bổ sung một module mới mang tên "Kỹ năng giao tiếp gia đình" cho cha mẹ vị thành niên Việt Nam, gồm 4 buổi chính và 2 buổi nhắc lại ở mốc 3 và 6 tháng. Nội dung có thể tham khảo Parent-Child Communication Training (Dumas 2005) nhưng thích ứng văn hoá Việt Nam (sử dụng hình ảnh bữa cơm gia đình, cách hỏi về cảm xúc thay vì chỉ hỏi về điểm số, cách lắng nghe không phán xét). Nhà trường nên tổ chức workshop cha mẹ thường xuyên mỗi học kỳ một lần. Đồng thời, cần một RCT chuyên biệt trong bối cảnh Việt Nam để xác nhận khả năng khái quát hoá của OR = 0,22. Nếu khái quát được, đây là can thiệp rẻ tiền và khả thi nhất cho bối cảnh quốc gia thu nhập trung bình — chỉ cần đào tạo giáo viên hoặc điều dưỡng học đường để triển khai.</w:t>
      </w:r>
    </w:p>
    <w:p>
      <w:pPr>
        <w:pStyle w:val="Heading3"/>
      </w:pPr>
      <w:r>
        <w:rPr>
          <w:rFonts w:ascii="Times New Roman" w:hAnsi="Times New Roman"/>
          <w:color w:val="000000"/>
        </w:rPr>
        <w:t>V.2.3. Yếu tố nguy cơ bất ngờ — ngủ dưới 5 giờ AOR = 13,71</w:t>
      </w:r>
    </w:p>
    <w:p>
      <w:pPr>
        <w:jc w:val="both"/>
      </w:pPr>
      <w:r>
        <w:rPr>
          <w:rFonts w:ascii="Times New Roman" w:hAnsi="Times New Roman"/>
          <w:b w:val="0"/>
          <w:i w:val="0"/>
          <w:sz w:val="24"/>
        </w:rPr>
        <w:t>Zhu et al. 2025 (BMC Public Health, n = 9.831 học sinh THCS/THPT Tô Châu, khảo sát lặp lại 3 thời điểm 2019–2023 bao phủ giai đoạn COVID-19) là nghiên cứu lớn nhất trong tổng hợp 68 bài về yếu tố nguy cơ cụ thể. Kết quả: AOR = 13,71 cho trầm cảm có ý nghĩa lâm sàng (PHQ-9 ≥ 10) khi ngủ dưới 5 giờ/đêm so với ngủ ≥ 8 giờ. Đây là tỷ số chênh lớn nhất trong toàn bộ 68 bài cho bất kỳ yếu tố nguy cơ nào — nghĩa là giấc ngủ dưới 5 giờ làm tăng nguy cơ trầm cảm lâm sàng gần 14 lần.</w:t>
      </w:r>
    </w:p>
    <w:p>
      <w:pPr>
        <w:jc w:val="both"/>
      </w:pPr>
      <w:r>
        <w:rPr>
          <w:rFonts w:ascii="Times New Roman" w:hAnsi="Times New Roman"/>
          <w:b w:val="0"/>
          <w:i w:val="0"/>
          <w:sz w:val="24"/>
        </w:rPr>
        <w:t>Để hiểu quy mô, so sánh với các yếu tố nguy cơ khác trong cùng nghiên cứu Zhu 2025 và các bài khác:</w:t>
      </w:r>
    </w:p>
    <w:p>
      <w:pPr>
        <w:jc w:val="both"/>
      </w:pPr>
      <w:r>
        <w:rPr>
          <w:rFonts w:ascii="Times New Roman" w:hAnsi="Times New Roman"/>
          <w:b w:val="0"/>
          <w:i w:val="0"/>
          <w:sz w:val="24"/>
        </w:rPr>
        <w:t>• Áp lực học tập (Wen 2020, Hoa 2024, Trần Hồ Vĩnh Lộc 2024): OR ≈ 11</w:t>
      </w:r>
    </w:p>
    <w:p>
      <w:pPr>
        <w:jc w:val="both"/>
      </w:pPr>
      <w:r>
        <w:rPr>
          <w:rFonts w:ascii="Times New Roman" w:hAnsi="Times New Roman"/>
          <w:b w:val="0"/>
          <w:i w:val="0"/>
          <w:sz w:val="24"/>
        </w:rPr>
        <w:t>• Gia đình đơn thân: AOR = 1,434</w:t>
      </w:r>
    </w:p>
    <w:p>
      <w:pPr>
        <w:jc w:val="both"/>
      </w:pPr>
      <w:r>
        <w:rPr>
          <w:rFonts w:ascii="Times New Roman" w:hAnsi="Times New Roman"/>
          <w:b w:val="0"/>
          <w:i w:val="0"/>
          <w:sz w:val="24"/>
        </w:rPr>
        <w:t>• Gia đình tái hôn: AOR = 1,837</w:t>
      </w:r>
    </w:p>
    <w:p>
      <w:pPr>
        <w:jc w:val="both"/>
      </w:pPr>
      <w:r>
        <w:rPr>
          <w:rFonts w:ascii="Times New Roman" w:hAnsi="Times New Roman"/>
          <w:b w:val="0"/>
          <w:i w:val="0"/>
          <w:sz w:val="24"/>
        </w:rPr>
        <w:t>• Học sinh THPT so với THCS: AOR = 1,409</w:t>
      </w:r>
    </w:p>
    <w:p>
      <w:pPr>
        <w:jc w:val="both"/>
      </w:pPr>
      <w:r>
        <w:rPr>
          <w:rFonts w:ascii="Times New Roman" w:hAnsi="Times New Roman"/>
          <w:b w:val="0"/>
          <w:i w:val="0"/>
          <w:sz w:val="24"/>
        </w:rPr>
        <w:t>• Nữ giới so với nam: AOR = 1,25</w:t>
      </w:r>
    </w:p>
    <w:p>
      <w:pPr>
        <w:jc w:val="both"/>
      </w:pPr>
      <w:r>
        <w:rPr>
          <w:rFonts w:ascii="Times New Roman" w:hAnsi="Times New Roman"/>
          <w:b w:val="0"/>
          <w:i w:val="0"/>
          <w:sz w:val="24"/>
        </w:rPr>
        <w:t>Ngủ dưới 5 giờ vượt áp lực học tập khoảng 25 % và vượt yếu tố gia đình đơn thân gấp gần 10 lần. AOR đã được điều chỉnh cho các biến khác, tức là hiệu ứng độc lập sau khi loại trừ ảnh hưởng áp lực học tập.</w:t>
      </w:r>
    </w:p>
    <w:p>
      <w:pPr>
        <w:jc w:val="both"/>
      </w:pPr>
      <w:r>
        <w:rPr>
          <w:rFonts w:ascii="Times New Roman" w:hAnsi="Times New Roman"/>
          <w:b/>
          <w:i w:val="0"/>
          <w:sz w:val="24"/>
        </w:rPr>
        <w:t>Cơ chế đa tầng:</w:t>
      </w:r>
    </w:p>
    <w:p>
      <w:pPr>
        <w:jc w:val="both"/>
      </w:pPr>
      <w:r>
        <w:rPr>
          <w:rFonts w:ascii="Times New Roman" w:hAnsi="Times New Roman"/>
          <w:b w:val="0"/>
          <w:i w:val="0"/>
          <w:sz w:val="24"/>
        </w:rPr>
        <w:t>(a) Trục HPA và cortisol — Thiếu ngủ mạn tính phá vỡ nhịp cortisol ngày đêm (cortisol đáng lẽ hạ thấp ban đêm lại giữ ở mức cao). Cortisol tăng kéo dài liên quan đến viêm thần kinh vùng hippocampus và rối loạn điều tiết HPA — cả hai là mechanism trung tâm trong nghiên cứu trầm cảm.</w:t>
      </w:r>
    </w:p>
    <w:p>
      <w:pPr>
        <w:jc w:val="both"/>
      </w:pPr>
      <w:r>
        <w:rPr>
          <w:rFonts w:ascii="Times New Roman" w:hAnsi="Times New Roman"/>
          <w:b w:val="0"/>
          <w:i w:val="0"/>
          <w:sz w:val="24"/>
        </w:rPr>
        <w:t>(b) Giấc ngủ sóng chậm (slow-wave, NREM) và củng cố cảm xúc — NREM sâu chịu trách nhiệm cho glymphatic clearance và synaptic homeostasis, trong khi REM sleep đóng vai trò consolidation của trí nhớ cảm xúc. Khi tổng thời gian ngủ giảm dưới 5 giờ, cả NREM sâu và REM đều bị cắt ngắn, ảnh hưởng điều tiết cảm xúc hôm sau. (Lưu ý: REM KHÔNG phải là giai đoạn "tái tạo serotonin" — trái lại, các neuron serotonergic và noradrenergic giảm phát xung trong REM; cơ chế chính của REM liên quan đến hệ cholinergic và emotional memory processing.)</w:t>
      </w:r>
    </w:p>
    <w:p>
      <w:pPr>
        <w:jc w:val="both"/>
      </w:pPr>
      <w:r>
        <w:rPr>
          <w:rFonts w:ascii="Times New Roman" w:hAnsi="Times New Roman"/>
          <w:b w:val="0"/>
          <w:i w:val="0"/>
          <w:sz w:val="24"/>
        </w:rPr>
        <w:t>(c) Chức năng nhận thức — Thiếu ngủ làm giảm hoạt động vỏ não trán trước (ra quyết định, điều tiết cảm xúc), làm tăng phản ứng amygdala với kích thích tiêu cực, khiến trẻ dễ cáu gắt, suy nghĩ tiêu cực và gặp khó khăn ở trường.</w:t>
      </w:r>
    </w:p>
    <w:p>
      <w:pPr>
        <w:jc w:val="both"/>
      </w:pPr>
      <w:r>
        <w:rPr>
          <w:rFonts w:ascii="Times New Roman" w:hAnsi="Times New Roman"/>
          <w:b w:val="0"/>
          <w:i w:val="0"/>
          <w:sz w:val="24"/>
        </w:rPr>
        <w:t>(d) Mạng xã hội và night scrolling — Các khảo sát về smartphone sử dụng ở vị thành niên châu Á cho thấy tỷ lệ cao dùng thiết bị trước giờ ngủ. Ánh sáng xanh ức chế melatonin và các đợt kích thích dopamine từ nội dung mạng xã hội làm trì hoãn giấc ngủ, giảm tổng thời gian ngủ — một con đường hành vi dẫn đến thiếu ngủ mạn tính.</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Thêm module vệ sinh giấc ngủ vào chương trình can thiệp, bao gồm quy tắc tắt thiết bị 1 giờ trước ngủ, lịch ngủ đều mọi ngày, môi trường ngủ tối và yên tĩnh, tránh caffeine buổi chiều. Các biện pháp này chi phí thấp và đã được validate rộng rãi. Cần phối hợp cha mẹ — cha mẹ Việt Nam thường đặt kỷ luật về giờ học nhưng không chú ý giờ ngủ. Cần giáo dục cha mẹ về khuyến cáo ≥ 7 giờ cho vị thành niên của Hiệp hội Giấc ngủ Hoa Kỳ. Ngoài ra, cần nghiên cứu chính sách trường học về cho phép/cấm smartphone trong ký túc xá vào buổi tối. Một số trường tư Việt Nam đã áp dụng (giữ smartphone tập trung từ 22 h đến 6 h) — cần đánh giá hiệu quả bằng RCT.</w:t>
      </w:r>
    </w:p>
    <w:p>
      <w:pPr>
        <w:pStyle w:val="Heading3"/>
      </w:pPr>
      <w:r>
        <w:rPr>
          <w:rFonts w:ascii="Times New Roman" w:hAnsi="Times New Roman"/>
          <w:color w:val="000000"/>
        </w:rPr>
        <w:t>V.2.4. Nghịch lý sinh viên/học sinh giỏi nhất có nguy cơ sức khoẻ tâm thần cao nhất</w:t>
      </w:r>
    </w:p>
    <w:p>
      <w:pPr>
        <w:jc w:val="both"/>
      </w:pPr>
      <w:r>
        <w:rPr>
          <w:rFonts w:ascii="Times New Roman" w:hAnsi="Times New Roman"/>
          <w:b w:val="0"/>
          <w:i w:val="0"/>
          <w:sz w:val="24"/>
        </w:rPr>
        <w:t>Phát hiện này mang tính nghịch lý: học sinh và sinh viên có thành tích học tập cao nhất lại là nhóm có nguy cơ sức khoẻ tâm thần cao nhất, trái ngược với giả định thông thường rằng "học tốt = ứng phó tốt".</w:t>
      </w:r>
    </w:p>
    <w:p>
      <w:pPr>
        <w:jc w:val="both"/>
      </w:pPr>
      <w:r>
        <w:rPr>
          <w:rFonts w:ascii="Times New Roman" w:hAnsi="Times New Roman"/>
          <w:b w:val="0"/>
          <w:i w:val="0"/>
          <w:sz w:val="24"/>
        </w:rPr>
        <w:t>Bằng chứng: Đào Thị Ngoãn et al. 2025 (Tạp chí Nghiên cứu Y học, n = 196 sinh viên năm 4 Đại học Y Hà Nội) phát hiện sinh viên đạt học lực Giỏi có OR = 4,97 cho trầm cảm so với nhóm Khá–Trung bình. Con số này đi ngược trực giác nhưng được củng cố bởi dữ liệu khảo sát học sinh trường chuyên Việt Nam (Trần Thị Mỵ Lương 2020): 67,5 % học sinh chuyên cảm thấy "vô dụng" (worthless) — cao hơn nhiều so với học sinh thường.</w:t>
      </w:r>
    </w:p>
    <w:p>
      <w:pPr>
        <w:jc w:val="both"/>
      </w:pPr>
      <w:r>
        <w:rPr>
          <w:rFonts w:ascii="Times New Roman" w:hAnsi="Times New Roman"/>
          <w:b/>
          <w:i w:val="0"/>
          <w:sz w:val="24"/>
        </w:rPr>
        <w:t>Cơ chế tâm lý:</w:t>
      </w:r>
    </w:p>
    <w:p>
      <w:pPr>
        <w:jc w:val="both"/>
      </w:pPr>
      <w:r>
        <w:rPr>
          <w:rFonts w:ascii="Times New Roman" w:hAnsi="Times New Roman"/>
          <w:b w:val="0"/>
          <w:i w:val="0"/>
          <w:sz w:val="24"/>
        </w:rPr>
        <w:t>(a) Tiêu chuẩn nội hoá — Học sinh/sinh viên giỏi thường tự đặt tiêu chuẩn rất cao. Khi đạt được một mục tiêu, họ ngay lập tức đặt mục tiêu cao hơn. Quá trình này tạo ra "moving goalposts" — không bao giờ hài lòng, luôn lo lắng.</w:t>
      </w:r>
    </w:p>
    <w:p>
      <w:pPr>
        <w:jc w:val="both"/>
      </w:pPr>
      <w:r>
        <w:rPr>
          <w:rFonts w:ascii="Times New Roman" w:hAnsi="Times New Roman"/>
          <w:b w:val="0"/>
          <w:i w:val="0"/>
          <w:sz w:val="24"/>
        </w:rPr>
        <w:t>(b) Sợ thất bại (fear of failure) — Điểm càng cao, áp lực giữ vị trí càng lớn. Hiện tượng "impostor syndrome" phổ biến ở sinh viên Y và học sinh chuyên: họ tin rằng mình không thực sự giỏi và có thể bị "lật tẩy" bất kỳ lúc nào.</w:t>
      </w:r>
    </w:p>
    <w:p>
      <w:pPr>
        <w:jc w:val="both"/>
      </w:pPr>
      <w:r>
        <w:rPr>
          <w:rFonts w:ascii="Times New Roman" w:hAnsi="Times New Roman"/>
          <w:b w:val="0"/>
          <w:i w:val="0"/>
          <w:sz w:val="24"/>
        </w:rPr>
        <w:t>(c) So sánh xã hội — Học sinh chuyên và sinh viên Y sống trong môi trường "toàn người giỏi", khiến so sánh xã hội tiêu cực (upward comparison) trở nên thường nhật. Theo Festinger 1954, khi so sánh với người giỏi hơn, mức hài lòng với bản thân giảm, tăng nguy cơ trầm cảm.</w:t>
      </w:r>
    </w:p>
    <w:p>
      <w:pPr>
        <w:jc w:val="both"/>
      </w:pPr>
      <w:r>
        <w:rPr>
          <w:rFonts w:ascii="Times New Roman" w:hAnsi="Times New Roman"/>
          <w:b w:val="0"/>
          <w:i w:val="0"/>
          <w:sz w:val="24"/>
        </w:rPr>
        <w:t>(d) Áp lực phụ huynh — Cha mẹ của học sinh chuyên/sinh viên Y thường đã đầu tư nhiều (tiền bạc, thời gian, kỳ vọng) từ nhỏ. Nỗi sợ "làm cha mẹ thất vọng" tích luỹ qua năm tháng (60,3 % theo Dong 2025 tại Trung Quốc).</w:t>
      </w:r>
    </w:p>
    <w:p>
      <w:pPr>
        <w:jc w:val="both"/>
      </w:pPr>
      <w:r>
        <w:rPr>
          <w:rFonts w:ascii="Times New Roman" w:hAnsi="Times New Roman"/>
          <w:b/>
          <w:i w:val="0"/>
          <w:sz w:val="24"/>
        </w:rPr>
        <w:t>Hệ quả thực hành:</w:t>
      </w:r>
    </w:p>
    <w:p>
      <w:pPr>
        <w:jc w:val="both"/>
      </w:pPr>
      <w:r>
        <w:rPr>
          <w:rFonts w:ascii="Times New Roman" w:hAnsi="Times New Roman"/>
          <w:b w:val="0"/>
          <w:i w:val="0"/>
          <w:sz w:val="24"/>
        </w:rPr>
        <w:t>Triển khai sàng lọc tâm lý định kỳ cho học sinh trường chuyên và sinh viên các ngành đòi hỏi cao (Y, Công nghệ, Nghệ thuật). Không chỉ sàng lọc nhóm "yếu" — nhóm "giỏi" cũng cần. Đưa chủ đề "cầu toàn lành mạnh vs cầu toàn không lành mạnh" vào chương trình tư vấn học đường, dạy học sinh rằng "nỗ lực cao" khác với "yêu cầu hoàn hảo không thực tế". Về lâu dài, cần thay đổi văn hoá xếp hạng công khai tại các trường chuyên, giảm so sánh giữa học sinh, tăng tôn vinh nỗ lực thay vì kết quả. Song song, tổ chức workshop cho cha mẹ học sinh chuyên về cách đặt kỳ vọng hợp lý và phát hiện dấu hiệu cầu toàn không lành mạnh sớm.</w:t>
      </w:r>
    </w:p>
    <w:p>
      <w:pPr>
        <w:pStyle w:val="Heading3"/>
      </w:pPr>
      <w:r>
        <w:rPr>
          <w:rFonts w:ascii="Times New Roman" w:hAnsi="Times New Roman"/>
          <w:color w:val="000000"/>
        </w:rPr>
        <w:t>V.2.5. Đồng xuất hiện 91,6 % đa hành vi nguy cơ ở học sinh THPT TPHCM</w:t>
      </w:r>
    </w:p>
    <w:p>
      <w:pPr>
        <w:jc w:val="both"/>
      </w:pPr>
      <w:r>
        <w:rPr>
          <w:rFonts w:ascii="Times New Roman" w:hAnsi="Times New Roman"/>
          <w:b w:val="0"/>
          <w:i w:val="0"/>
          <w:sz w:val="24"/>
        </w:rPr>
        <w:t>Duong et al. 2025 (Social Psychiatry and Psychiatric Epidemiology Q1, n = 2.631 học sinh THPT TPHCM, đa trung tâm) phát hiện con số đáng lo ngại: 91,6 % học sinh có ít nhất 2 hành vi nguy cơ sức khoẻ đồng thời.</w:t>
      </w:r>
    </w:p>
    <w:p>
      <w:pPr>
        <w:jc w:val="both"/>
      </w:pPr>
      <w:r>
        <w:rPr>
          <w:rFonts w:ascii="Times New Roman" w:hAnsi="Times New Roman"/>
          <w:b w:val="0"/>
          <w:i w:val="0"/>
          <w:sz w:val="24"/>
        </w:rPr>
        <w:t>Chi tiết các hành vi được đo:</w:t>
      </w:r>
    </w:p>
    <w:p>
      <w:pPr>
        <w:jc w:val="both"/>
      </w:pPr>
      <w:r>
        <w:rPr>
          <w:rFonts w:ascii="Times New Roman" w:hAnsi="Times New Roman"/>
          <w:b w:val="0"/>
          <w:i w:val="0"/>
          <w:sz w:val="24"/>
        </w:rPr>
        <w:t>• Thiếu vận động thể chất: 79,9 %</w:t>
      </w:r>
    </w:p>
    <w:p>
      <w:pPr>
        <w:jc w:val="both"/>
      </w:pPr>
      <w:r>
        <w:rPr>
          <w:rFonts w:ascii="Times New Roman" w:hAnsi="Times New Roman"/>
          <w:b w:val="0"/>
          <w:i w:val="0"/>
          <w:sz w:val="24"/>
        </w:rPr>
        <w:t>• Thiếu ngủ: khoảng 50 %</w:t>
      </w:r>
    </w:p>
    <w:p>
      <w:pPr>
        <w:jc w:val="both"/>
      </w:pPr>
      <w:r>
        <w:rPr>
          <w:rFonts w:ascii="Times New Roman" w:hAnsi="Times New Roman"/>
          <w:b w:val="0"/>
          <w:i w:val="0"/>
          <w:sz w:val="24"/>
        </w:rPr>
        <w:t>• Ăn uống không lành mạnh: khoảng 60 %</w:t>
      </w:r>
    </w:p>
    <w:p>
      <w:pPr>
        <w:jc w:val="both"/>
      </w:pPr>
      <w:r>
        <w:rPr>
          <w:rFonts w:ascii="Times New Roman" w:hAnsi="Times New Roman"/>
          <w:b w:val="0"/>
          <w:i w:val="0"/>
          <w:sz w:val="24"/>
        </w:rPr>
        <w:t>• Hành vi tình dục không an toàn: khoảng 15 %</w:t>
      </w:r>
    </w:p>
    <w:p>
      <w:pPr>
        <w:jc w:val="both"/>
      </w:pPr>
      <w:r>
        <w:rPr>
          <w:rFonts w:ascii="Times New Roman" w:hAnsi="Times New Roman"/>
          <w:b w:val="0"/>
          <w:i w:val="0"/>
          <w:sz w:val="24"/>
        </w:rPr>
        <w:t>• Sử dụng rượu bia: khoảng 10 %</w:t>
      </w:r>
    </w:p>
    <w:p>
      <w:pPr>
        <w:jc w:val="both"/>
      </w:pPr>
      <w:r>
        <w:rPr>
          <w:rFonts w:ascii="Times New Roman" w:hAnsi="Times New Roman"/>
          <w:b w:val="0"/>
          <w:i w:val="0"/>
          <w:sz w:val="24"/>
        </w:rPr>
        <w:t>• Hút thuốc: khoảng 5 %</w:t>
      </w:r>
    </w:p>
    <w:p>
      <w:pPr>
        <w:jc w:val="both"/>
      </w:pPr>
      <w:r>
        <w:rPr>
          <w:rFonts w:ascii="Times New Roman" w:hAnsi="Times New Roman"/>
          <w:b w:val="0"/>
          <w:i w:val="0"/>
          <w:sz w:val="24"/>
        </w:rPr>
        <w:t>• Hành vi cờ bạc/game quá mức: khoảng 30 %</w:t>
      </w:r>
    </w:p>
    <w:p>
      <w:pPr>
        <w:jc w:val="both"/>
      </w:pPr>
      <w:r>
        <w:rPr>
          <w:rFonts w:ascii="Times New Roman" w:hAnsi="Times New Roman"/>
          <w:b w:val="0"/>
          <w:i w:val="0"/>
          <w:sz w:val="24"/>
        </w:rPr>
        <w:t>Điểm quan trọng: các hành vi này không độc lập — chúng clustered. Một học sinh có hành vi nguy cơ này có xu hướng có các hành vi nguy cơ khác. Hiện tượng gọi là "risk behavior clustering" (Sallis 1992, Leventhal 2013).</w:t>
      </w:r>
    </w:p>
    <w:p>
      <w:pPr>
        <w:jc w:val="both"/>
      </w:pPr>
      <w:r>
        <w:rPr>
          <w:rFonts w:ascii="Times New Roman" w:hAnsi="Times New Roman"/>
          <w:b/>
          <w:i w:val="0"/>
          <w:sz w:val="24"/>
        </w:rPr>
        <w:t>Tại sao clustering xảy ra?</w:t>
      </w:r>
    </w:p>
    <w:p>
      <w:pPr>
        <w:jc w:val="both"/>
      </w:pPr>
      <w:r>
        <w:rPr>
          <w:rFonts w:ascii="Times New Roman" w:hAnsi="Times New Roman"/>
          <w:b w:val="0"/>
          <w:i w:val="0"/>
          <w:sz w:val="24"/>
        </w:rPr>
        <w:t>(a) Cấu trúc ngày — Thiếu ngủ dẫn đến thiếu năng lượng, thiếu vận động, ăn uống bù qua đồ ăn nhanh và đường, mất cân bằng, rồi trầm cảm/lo âu — vòng luẩn quẩn hành vi. (b) Sức khoẻ tâm thần là yếu tố trung gian — Duong 2025 cũng phát hiện OR từ 1,24 đến 4,64 cho mối liên hệ giữa triệu chứng SKTT và hành vi nguy cơ. Lý thuyết "tự điều trị" (Khantzian 1997) cho rằng vị thành niên dùng hành vi nguy cơ để ứng phó với trầm cảm/lo âu, lại làm SKTT xấu hơn. (c) Yếu tố môi trường — Cùng một môi trường (trường học kém, gia đình nghèo, khu vực thiếu tiện ích) tạo điều kiện cho nhiều hành vi nguy cơ cùng lúc.</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Không can thiệp đơn lẻ một hành vi — cần can thiệp lối sống tích hợp nhắm cùng lúc vào giấc ngủ, vận động, dinh dưỡng và sử dụng mạng xã hội. Các chương trình hiện chỉ tập trung vào tâm lý là chưa đủ toàn diện. Tiếp cận cấp cộng đồng — thay đổi môi trường (công viên thể thao trường, chính sách canteen lành mạnh, giới hạn MXH) — có thể có hiệu ứng lớn hơn tiếp cận cá nhân đối với 91,6 % học sinh có đa hành vi nguy cơ. Cần tích hợp với chương trình sức khoẻ học đường sẵn có (dinh dưỡng, thể chất, giáo dục sức khoẻ sinh sản) thay vì tạo chương trình mới độc lập. Đồng thời, cần nghiên cứu dọc xác định chiều nhân quả: hành vi nguy cơ dẫn đến SKTT kém, hay SKTT kém dẫn đến hành vi nguy cơ, hay là vòng luẩn quẩn — kết quả sẽ định hướng ưu tiên can thiệp.</w:t>
      </w:r>
    </w:p>
    <w:p>
      <w:pPr>
        <w:pStyle w:val="Heading2"/>
      </w:pPr>
      <w:r>
        <w:rPr>
          <w:rFonts w:ascii="Times New Roman" w:hAnsi="Times New Roman"/>
          <w:color w:val="000000"/>
        </w:rPr>
        <w:t>V.3. Bức tranh tổng thể phương pháp × kết cục trong 68 bài</w:t>
      </w:r>
    </w:p>
    <w:p>
      <w:pPr>
        <w:jc w:val="both"/>
      </w:pPr>
      <w:r>
        <w:rPr>
          <w:rFonts w:ascii="Times New Roman" w:hAnsi="Times New Roman"/>
          <w:b w:val="0"/>
          <w:i w:val="0"/>
          <w:sz w:val="24"/>
        </w:rPr>
        <w:t>Ma trận phương pháp × kết cục dưới đây tổng hợp toàn bộ 68 bài theo hai chiều đồng thời: phương pháp can thiệp và kết cục đo. Cách quan sát này giúp nhận diện nhanh các lĩnh vực dồi dào bằng chứng và các khoảng trống cần bổ sung.</w:t>
      </w:r>
    </w:p>
    <w:p>
      <w:pPr>
        <w:jc w:val="center"/>
      </w:pPr>
      <w:r>
        <w:drawing>
          <wp:inline xmlns:a="http://schemas.openxmlformats.org/drawingml/2006/main" xmlns:pic="http://schemas.openxmlformats.org/drawingml/2006/picture">
            <wp:extent cx="5580000" cy="4682932"/>
            <wp:docPr id="2" name="Picture 2"/>
            <wp:cNvGraphicFramePr>
              <a:graphicFrameLocks noChangeAspect="1"/>
            </wp:cNvGraphicFramePr>
            <a:graphic>
              <a:graphicData uri="http://schemas.openxmlformats.org/drawingml/2006/picture">
                <pic:pic>
                  <pic:nvPicPr>
                    <pic:cNvPr id="0" name="kg_method_outcome_heatmap.png"/>
                    <pic:cNvPicPr/>
                  </pic:nvPicPr>
                  <pic:blipFill>
                    <a:blip r:embed="rId10"/>
                    <a:stretch>
                      <a:fillRect/>
                    </a:stretch>
                  </pic:blipFill>
                  <pic:spPr>
                    <a:xfrm>
                      <a:off x="0" y="0"/>
                      <a:ext cx="5580000" cy="4682932"/>
                    </a:xfrm>
                    <a:prstGeom prst="rect"/>
                  </pic:spPr>
                </pic:pic>
              </a:graphicData>
            </a:graphic>
          </wp:inline>
        </w:drawing>
      </w:r>
    </w:p>
    <w:p>
      <w:pPr>
        <w:jc w:val="center"/>
      </w:pPr>
      <w:r>
        <w:rPr>
          <w:rFonts w:ascii="Times New Roman" w:hAnsi="Times New Roman"/>
          <w:i/>
          <w:sz w:val="20"/>
        </w:rPr>
        <w:t>Bức tranh phương pháp × kết cục trong tổng hợp 68 bài nghiên cứu</w:t>
      </w:r>
    </w:p>
    <w:p>
      <w:pPr>
        <w:jc w:val="both"/>
      </w:pPr>
      <w:r>
        <w:rPr>
          <w:rFonts w:ascii="Times New Roman" w:hAnsi="Times New Roman"/>
          <w:b/>
          <w:i w:val="0"/>
          <w:sz w:val="24"/>
        </w:rPr>
        <w:t>Các quan sát chính:</w:t>
      </w:r>
    </w:p>
    <w:p>
      <w:pPr>
        <w:jc w:val="both"/>
      </w:pPr>
      <w:r>
        <w:rPr>
          <w:rFonts w:ascii="Times New Roman" w:hAnsi="Times New Roman"/>
          <w:b w:val="0"/>
          <w:i w:val="0"/>
          <w:sz w:val="24"/>
        </w:rPr>
        <w:t>(a) CBT chiếm ưu thế tuyệt đối — 14 bài đo lo âu, 7 bài trầm cảm, 6 bài rối loạn lo âu xã hội, 5 bài stress, tổng cộng 32 "ô" trong ma trận. Đây là xác nhận rằng CBT là tiêu chuẩn vàng de facto cho can thiệp tâm lý vị thành niên. Không có phương pháp nào khác gần con số này.</w:t>
      </w:r>
    </w:p>
    <w:p>
      <w:pPr>
        <w:jc w:val="both"/>
      </w:pPr>
      <w:r>
        <w:rPr>
          <w:rFonts w:ascii="Times New Roman" w:hAnsi="Times New Roman"/>
          <w:b w:val="0"/>
          <w:i w:val="0"/>
          <w:sz w:val="24"/>
        </w:rPr>
        <w:t>(b) Nhóm CBT mở rộng (iCBT, gCBT, Mobile CBT) tổng cộng khoảng 15 ô — lĩnh vực rất hoạt động. Riêng iCBT có 6 ô lo âu và 3 ô rối loạn lo âu xã hội, phù hợp với kết luận của Xian 2024 NMA (iCBT hạng 1 cho SAD).</w:t>
      </w:r>
    </w:p>
    <w:p>
      <w:pPr>
        <w:jc w:val="both"/>
      </w:pPr>
      <w:r>
        <w:rPr>
          <w:rFonts w:ascii="Times New Roman" w:hAnsi="Times New Roman"/>
          <w:b w:val="0"/>
          <w:i w:val="0"/>
          <w:sz w:val="24"/>
        </w:rPr>
        <w:t>(c) Mindfulness và Resilience tách biệt — mỗi phương pháp chỉ có 2–3 ô, gợi ý đây là lĩnh vực đang phát triển, chưa có meta-analysis toàn diện. Brown &amp; Carter 2025 UK đã cảnh báo mindfulness phổ quát có thể thất bại — cần cẩn thận khi triển khai đại trà.</w:t>
      </w:r>
    </w:p>
    <w:p>
      <w:pPr>
        <w:jc w:val="both"/>
      </w:pPr>
      <w:r>
        <w:rPr>
          <w:rFonts w:ascii="Times New Roman" w:hAnsi="Times New Roman"/>
          <w:b w:val="0"/>
          <w:i w:val="0"/>
          <w:sz w:val="24"/>
        </w:rPr>
        <w:t>(d) Khoảng trống rõ nhất: Vận động thể chất (PE) chỉ có 3 ô — quá ít so với bằng chứng umbrella review của JAACAP 2025 (SMD = −0,39 cho lo âu, SMD = −0,32 cho vận động aerobic). Điều này gợi ý PE đang bị under-represented trong tổng hợp hiện tại, cần bổ sung thêm RCT về vận động thể chất cho vị thành niên Việt Nam.</w:t>
      </w:r>
    </w:p>
    <w:p>
      <w:pPr>
        <w:jc w:val="both"/>
      </w:pPr>
      <w:r>
        <w:rPr>
          <w:rFonts w:ascii="Times New Roman" w:hAnsi="Times New Roman"/>
          <w:b w:val="0"/>
          <w:i w:val="0"/>
          <w:sz w:val="24"/>
        </w:rPr>
        <w:t>(e) VR therapy xuất hiện mới — chỉ 1–2 ô, nhưng umbrella review JAACAP 2025 cho thấy VR therapy có tiềm năng cho rối loạn lo âu xã hội. Đây là lĩnh vực tiên phong đáng đầu tư tìm kiếm.</w:t>
      </w:r>
    </w:p>
    <w:p>
      <w:pPr>
        <w:pStyle w:val="Heading2"/>
      </w:pPr>
      <w:r>
        <w:rPr>
          <w:rFonts w:ascii="Times New Roman" w:hAnsi="Times New Roman"/>
          <w:color w:val="000000"/>
        </w:rPr>
        <w:t>V.4. Nghiên cứu Happy House — RCT đầu tiên tại Việt Nam về can thiệp SKTT cho vị thành niên</w:t>
      </w:r>
    </w:p>
    <w:p>
      <w:pPr>
        <w:jc w:val="both"/>
      </w:pPr>
      <w:r>
        <w:rPr>
          <w:rFonts w:ascii="Times New Roman" w:hAnsi="Times New Roman"/>
          <w:b w:val="0"/>
          <w:i w:val="0"/>
          <w:sz w:val="24"/>
        </w:rPr>
        <w:t>Trong các phiên bản báo cáo trước, nhóm tác giả đã đề cập "chưa có RCT can thiệp SKTT vị thành niên tại Việt Nam" — đây là kết luận không chính xác. Nghiên cứu Happy House của Tran và cộng sự (2023) thực tế là cluster controlled trial đầu tiên trong lĩnh vực này. Phần này trình bày đầy đủ chi tiết Happy House dựa trên bản dịch toàn văn từ PMC10643236.</w:t>
      </w:r>
    </w:p>
    <w:p>
      <w:pPr>
        <w:jc w:val="both"/>
      </w:pPr>
      <w:r>
        <w:rPr>
          <w:rFonts w:ascii="Times New Roman" w:hAnsi="Times New Roman"/>
          <w:b/>
          <w:i w:val="0"/>
          <w:sz w:val="24"/>
        </w:rPr>
        <w:t>Tác giả và đơn vị:</w:t>
      </w:r>
    </w:p>
    <w:p>
      <w:pPr>
        <w:jc w:val="both"/>
      </w:pPr>
      <w:r>
        <w:rPr>
          <w:rFonts w:ascii="Times New Roman" w:hAnsi="Times New Roman"/>
          <w:b w:val="0"/>
          <w:i w:val="0"/>
          <w:sz w:val="24"/>
        </w:rPr>
        <w:t>Thach Duc Tran (Monash University, Melbourne, Úc) — tác giả chính; Huong Nguyen (Hanoi University of Public Health, Việt Nam); Ian Shochet (Queensland University of Technology, Brisbane, Úc); cùng Nga Nguyen, Nga La, Astrid Wurfl, Jayne Orr, Hau Nguyen, Ruby Stocker, và Jane Fisher (Monash). Mô hình hợp tác Việt–Úc ba thể chế, nhóm Monash đóng vai trò methodology lead và HUPH đảm nhiệm field implementation.</w:t>
      </w:r>
    </w:p>
    <w:p>
      <w:pPr>
        <w:jc w:val="both"/>
      </w:pPr>
      <w:r>
        <w:rPr>
          <w:rFonts w:ascii="Times New Roman" w:hAnsi="Times New Roman"/>
          <w:b/>
          <w:i w:val="0"/>
          <w:sz w:val="24"/>
        </w:rPr>
        <w:t>Tài trợ và phê duyệt đạo đức:</w:t>
      </w:r>
    </w:p>
    <w:p>
      <w:pPr>
        <w:jc w:val="both"/>
      </w:pPr>
      <w:r>
        <w:rPr>
          <w:rFonts w:ascii="Times New Roman" w:hAnsi="Times New Roman"/>
          <w:b w:val="0"/>
          <w:i w:val="0"/>
          <w:sz w:val="24"/>
        </w:rPr>
        <w:t>Đăng ký thử nghiệm: ACTRN12620000088943 (Australian New Zealand Clinical Trials Registry — minh bạch theo chuẩn quốc tế). Tài trợ: NHMRC Úc (GNT1158429) kết hợp NAFOSTED Việt Nam (NHMRC.108.01-2018.02). Phê duyệt đạo đức từ Monash HREC, Đại học Y tế Công cộng Hà Nội IRB, và QUT OREC.</w:t>
      </w:r>
    </w:p>
    <w:p>
      <w:pPr>
        <w:jc w:val="both"/>
      </w:pPr>
      <w:r>
        <w:rPr>
          <w:rFonts w:ascii="Times New Roman" w:hAnsi="Times New Roman"/>
          <w:b/>
          <w:i w:val="0"/>
          <w:sz w:val="24"/>
        </w:rPr>
        <w:t>Thiết kế nghiên cứu:</w:t>
      </w:r>
    </w:p>
    <w:p>
      <w:pPr>
        <w:jc w:val="both"/>
      </w:pPr>
      <w:r>
        <w:rPr>
          <w:rFonts w:ascii="Times New Roman" w:hAnsi="Times New Roman"/>
          <w:b w:val="0"/>
          <w:i w:val="0"/>
          <w:sz w:val="24"/>
        </w:rPr>
        <w:t>• 8 trường THPT Hà Nội được chọn theo 3 tiêu chí: (a) sẵn sàng tham gia của ban giám hiệu, (b) cân bằng đặc điểm kinh tế–xã hội, (c) cân bằng địa lý (đô thị vs ngoại thành). Phân bổ 4 trường can thiệp và 4 trường đối chứng.</w:t>
      </w:r>
    </w:p>
    <w:p>
      <w:pPr>
        <w:jc w:val="both"/>
      </w:pPr>
      <w:r>
        <w:rPr>
          <w:rFonts w:ascii="Times New Roman" w:hAnsi="Times New Roman"/>
          <w:b w:val="0"/>
          <w:i w:val="0"/>
          <w:sz w:val="24"/>
        </w:rPr>
        <w:t>• 1.084 học sinh lớp 10 được tuyển — tỷ lệ tham gia 96,1 % (1.084 trong số 1.128 đủ điều kiện). Đây là tỷ lệ rất cao, cho thấy sự chấp nhận mạnh từ học sinh và phụ huynh.</w:t>
      </w:r>
    </w:p>
    <w:p>
      <w:pPr>
        <w:jc w:val="both"/>
      </w:pPr>
      <w:r>
        <w:rPr>
          <w:rFonts w:ascii="Times New Roman" w:hAnsi="Times New Roman"/>
          <w:b w:val="0"/>
          <w:i w:val="0"/>
          <w:sz w:val="24"/>
        </w:rPr>
        <w:t>• Sau khi loại bỏ học sinh thiếu dữ liệu baseline, số phân tích cuối cùng: 531 can thiệp và 552 đối chứng (tổng 1.083). Chênh lệch một đơn vị so với 1.084 đăng ký do một học sinh không hoàn tất bộ đo baseline.</w:t>
      </w:r>
    </w:p>
    <w:p>
      <w:pPr>
        <w:jc w:val="both"/>
      </w:pPr>
      <w:r>
        <w:rPr>
          <w:rFonts w:ascii="Times New Roman" w:hAnsi="Times New Roman"/>
          <w:b w:val="0"/>
          <w:i w:val="0"/>
          <w:sz w:val="24"/>
        </w:rPr>
        <w:t>• Tuổi 15–16 (lớp 10); khoảng 60 % nữ; khoảng 50 % đô thị; khoảng 89 % sống cùng cha mẹ ruột.</w:t>
      </w:r>
    </w:p>
    <w:p>
      <w:pPr>
        <w:jc w:val="both"/>
      </w:pPr>
      <w:r>
        <w:rPr>
          <w:rFonts w:ascii="Times New Roman" w:hAnsi="Times New Roman"/>
          <w:b w:val="0"/>
          <w:i w:val="0"/>
          <w:sz w:val="24"/>
        </w:rPr>
        <w:t>• Điểm CESD-R trung bình ban đầu: 11,4 ± 12,2 (đối chứng) so với 12,0 ± 12,0 (can thiệp), p = 0,729 — cân bằng tốt, không có selection bias.</w:t>
      </w:r>
    </w:p>
    <w:p>
      <w:pPr>
        <w:jc w:val="both"/>
      </w:pPr>
      <w:r>
        <w:rPr>
          <w:rFonts w:ascii="Times New Roman" w:hAnsi="Times New Roman"/>
          <w:b w:val="0"/>
          <w:i w:val="0"/>
          <w:sz w:val="24"/>
        </w:rPr>
        <w:t>• Tỷ lệ trầm cảm lâm sàng ban đầu (CESD-R ≥ 16): 25,5 % ở cả hai nhóm — phản ánh gánh nặng trầm cảm đáng kể ở học sinh lớp 10 Hà Nội. Không so sánh trực tiếp với các con số lo âu của Hoa 2024 (GAD-7) vì hai nghiên cứu đo hai rối loạn khác nhau.</w:t>
      </w:r>
    </w:p>
    <w:p>
      <w:pPr>
        <w:jc w:val="both"/>
      </w:pPr>
      <w:r>
        <w:rPr>
          <w:rFonts w:ascii="Times New Roman" w:hAnsi="Times New Roman"/>
          <w:b/>
          <w:i w:val="0"/>
          <w:sz w:val="24"/>
        </w:rPr>
        <w:t>Mô hình can thiệp Happy House:</w:t>
      </w:r>
    </w:p>
    <w:p>
      <w:pPr>
        <w:jc w:val="both"/>
      </w:pPr>
      <w:r>
        <w:rPr>
          <w:rFonts w:ascii="Times New Roman" w:hAnsi="Times New Roman"/>
          <w:b w:val="0"/>
          <w:i w:val="0"/>
          <w:sz w:val="24"/>
        </w:rPr>
        <w:t>Chương trình RAP-A (Resourceful Adolescent Program, Shochet et al., Úc) được thích ứng văn hoá Việt Nam qua 4 giai đoạn: (1) dịch tiếng Việt với back-translation; (2) thích ứng văn hoá với chuyên gia tâm lý học đường Việt Nam; (3) thử nghiệm pilot với 30 học sinh Hà Nội; (4) sửa đổi dựa trên phản hồi học sinh và giáo viên. Cấu trúc: 11 buổi 45 phút của RAP gốc được rút xuống 6 buổi 90 phút, thực hiện trong 6 tuần liên tiếp, thay thế môn Giáo dục Công dân.</w:t>
      </w:r>
    </w:p>
    <w:p>
      <w:pPr>
        <w:jc w:val="both"/>
      </w:pPr>
      <w:r>
        <w:rPr>
          <w:rFonts w:ascii="Times New Roman" w:hAnsi="Times New Roman"/>
          <w:b w:val="0"/>
          <w:i w:val="0"/>
          <w:sz w:val="24"/>
        </w:rPr>
        <w:t>Sáu buổi Happy House:</w:t>
      </w:r>
    </w:p>
    <w:p>
      <w:pPr>
        <w:jc w:val="both"/>
      </w:pPr>
      <w:r>
        <w:rPr>
          <w:rFonts w:ascii="Times New Roman" w:hAnsi="Times New Roman"/>
          <w:b w:val="0"/>
          <w:i w:val="0"/>
          <w:sz w:val="24"/>
        </w:rPr>
        <w:t>• Buổi 1: Sức mạnh bản thân — nhận diện điểm mạnh, xây dựng tự trọng</w:t>
      </w:r>
    </w:p>
    <w:p>
      <w:pPr>
        <w:jc w:val="both"/>
      </w:pPr>
      <w:r>
        <w:rPr>
          <w:rFonts w:ascii="Times New Roman" w:hAnsi="Times New Roman"/>
          <w:b w:val="0"/>
          <w:i w:val="0"/>
          <w:sz w:val="24"/>
        </w:rPr>
        <w:t>• Buổi 2: Suy nghĩ tích cực — tái cấu trúc nhận thức (CBT)</w:t>
      </w:r>
    </w:p>
    <w:p>
      <w:pPr>
        <w:jc w:val="both"/>
      </w:pPr>
      <w:r>
        <w:rPr>
          <w:rFonts w:ascii="Times New Roman" w:hAnsi="Times New Roman"/>
          <w:b w:val="0"/>
          <w:i w:val="0"/>
          <w:sz w:val="24"/>
        </w:rPr>
        <w:t>• Buổi 3: Quản lý cảm xúc — kỹ thuật thư giãn, điều tiết</w:t>
      </w:r>
    </w:p>
    <w:p>
      <w:pPr>
        <w:jc w:val="both"/>
      </w:pPr>
      <w:r>
        <w:rPr>
          <w:rFonts w:ascii="Times New Roman" w:hAnsi="Times New Roman"/>
          <w:b w:val="0"/>
          <w:i w:val="0"/>
          <w:sz w:val="24"/>
        </w:rPr>
        <w:t>• Buổi 4: Giải quyết vấn đề — các bước có cấu trúc</w:t>
      </w:r>
    </w:p>
    <w:p>
      <w:pPr>
        <w:jc w:val="both"/>
      </w:pPr>
      <w:r>
        <w:rPr>
          <w:rFonts w:ascii="Times New Roman" w:hAnsi="Times New Roman"/>
          <w:b w:val="0"/>
          <w:i w:val="0"/>
          <w:sz w:val="24"/>
        </w:rPr>
        <w:t>• Buổi 5: Mạng lưới hỗ trợ — xây dựng quan hệ (IPT)</w:t>
      </w:r>
    </w:p>
    <w:p>
      <w:pPr>
        <w:jc w:val="both"/>
      </w:pPr>
      <w:r>
        <w:rPr>
          <w:rFonts w:ascii="Times New Roman" w:hAnsi="Times New Roman"/>
          <w:b w:val="0"/>
          <w:i w:val="0"/>
          <w:sz w:val="24"/>
        </w:rPr>
        <w:t>• Buổi 6: Ôn tập và cam kết</w:t>
      </w:r>
    </w:p>
    <w:p>
      <w:pPr>
        <w:jc w:val="both"/>
      </w:pPr>
      <w:r>
        <w:rPr>
          <w:rFonts w:ascii="Times New Roman" w:hAnsi="Times New Roman"/>
          <w:b w:val="0"/>
          <w:i w:val="0"/>
          <w:sz w:val="24"/>
        </w:rPr>
        <w:t>Người cung cấp: Giáo viên Giáo dục Công dân (có nền tảng tâm lý cơ bản) được đào tạo 3 ngày bởi nhóm Monash và HUPH. Mỗi buổi có 1 giáo viên chính và 1–2 trợ giảng để hỗ trợ lớp đông 40–45 học sinh. Thích ứng này khác với RAP gốc Úc (16 học sinh/lớp) để phù hợp với class size Việt Nam.</w:t>
      </w:r>
    </w:p>
    <w:p>
      <w:pPr>
        <w:jc w:val="both"/>
      </w:pPr>
      <w:r>
        <w:rPr>
          <w:rFonts w:ascii="Times New Roman" w:hAnsi="Times New Roman"/>
          <w:b/>
          <w:i w:val="0"/>
          <w:sz w:val="24"/>
        </w:rPr>
        <w:t>Kết quả chính (aOR + KTC 95 %):</w:t>
      </w:r>
    </w:p>
    <w:tbl>
      <w:tblPr>
        <w:tblStyle w:val="TableGrid"/>
        <w:tblW w:type="auto" w:w="0"/>
        <w:jc w:val="center"/>
        <w:tblLook w:firstColumn="1" w:firstRow="1" w:lastColumn="0" w:lastRow="0" w:noHBand="0" w:noVBand="1" w:val="04A0"/>
        <w:tblLayout w:type="fixed"/>
      </w:tblPr>
      <w:tblGrid>
        <w:gridCol w:w="1134"/>
        <w:gridCol w:w="1701"/>
        <w:gridCol w:w="1587"/>
        <w:gridCol w:w="1587"/>
        <w:gridCol w:w="1814"/>
        <w:gridCol w:w="963"/>
      </w:tblGrid>
      <w:tr>
        <w:tc>
          <w:tcPr>
            <w:tcW w:w="1134" w:type="dxa"/>
            <w:shd w:fill="D9E2F3" w:val="clear"/>
          </w:tcPr>
          <w:p>
            <w:pPr>
              <w:jc w:val="center"/>
            </w:pPr>
            <w:r>
              <w:rPr>
                <w:rFonts w:ascii="Times New Roman" w:hAnsi="Times New Roman"/>
                <w:b/>
                <w:sz w:val="20"/>
              </w:rPr>
              <w:t>Thời điểm</w:t>
            </w:r>
          </w:p>
        </w:tc>
        <w:tc>
          <w:tcPr>
            <w:tcW w:w="1701" w:type="dxa"/>
            <w:shd w:fill="D9E2F3" w:val="clear"/>
          </w:tcPr>
          <w:p>
            <w:pPr>
              <w:jc w:val="center"/>
            </w:pPr>
            <w:r>
              <w:rPr>
                <w:rFonts w:ascii="Times New Roman" w:hAnsi="Times New Roman"/>
                <w:b/>
                <w:sz w:val="20"/>
              </w:rPr>
              <w:t>Kết cục</w:t>
            </w:r>
          </w:p>
        </w:tc>
        <w:tc>
          <w:tcPr>
            <w:tcW w:w="1587" w:type="dxa"/>
            <w:shd w:fill="D9E2F3" w:val="clear"/>
          </w:tcPr>
          <w:p>
            <w:pPr>
              <w:jc w:val="center"/>
            </w:pPr>
            <w:r>
              <w:rPr>
                <w:rFonts w:ascii="Times New Roman" w:hAnsi="Times New Roman"/>
                <w:b/>
                <w:sz w:val="20"/>
              </w:rPr>
              <w:t>Đối chứng (%)</w:t>
            </w:r>
          </w:p>
        </w:tc>
        <w:tc>
          <w:tcPr>
            <w:tcW w:w="1587" w:type="dxa"/>
            <w:shd w:fill="D9E2F3" w:val="clear"/>
          </w:tcPr>
          <w:p>
            <w:pPr>
              <w:jc w:val="center"/>
            </w:pPr>
            <w:r>
              <w:rPr>
                <w:rFonts w:ascii="Times New Roman" w:hAnsi="Times New Roman"/>
                <w:b/>
                <w:sz w:val="20"/>
              </w:rPr>
              <w:t>Can thiệp (%)</w:t>
            </w:r>
          </w:p>
        </w:tc>
        <w:tc>
          <w:tcPr>
            <w:tcW w:w="1814" w:type="dxa"/>
            <w:shd w:fill="D9E2F3" w:val="clear"/>
          </w:tcPr>
          <w:p>
            <w:pPr>
              <w:jc w:val="center"/>
            </w:pPr>
            <w:r>
              <w:rPr>
                <w:rFonts w:ascii="Times New Roman" w:hAnsi="Times New Roman"/>
                <w:b/>
                <w:sz w:val="20"/>
              </w:rPr>
              <w:t>aOR (KTC 95 %)</w:t>
            </w:r>
          </w:p>
        </w:tc>
        <w:tc>
          <w:tcPr>
            <w:tcW w:w="963" w:type="dxa"/>
            <w:shd w:fill="D9E2F3" w:val="clear"/>
          </w:tcPr>
          <w:p>
            <w:pPr>
              <w:jc w:val="center"/>
            </w:pPr>
            <w:r>
              <w:rPr>
                <w:rFonts w:ascii="Times New Roman" w:hAnsi="Times New Roman"/>
                <w:b/>
                <w:sz w:val="20"/>
              </w:rPr>
              <w:t>p</w:t>
            </w:r>
          </w:p>
        </w:tc>
      </w:tr>
      <w:tr>
        <w:tc>
          <w:tcPr>
            <w:tcW w:w="1134" w:type="dxa"/>
          </w:tcPr>
          <w:p>
            <w:r>
              <w:rPr>
                <w:rFonts w:ascii="Times New Roman" w:hAnsi="Times New Roman"/>
                <w:sz w:val="20"/>
              </w:rPr>
              <w:t>2 tuần</w:t>
            </w:r>
          </w:p>
        </w:tc>
        <w:tc>
          <w:tcPr>
            <w:tcW w:w="1701" w:type="dxa"/>
          </w:tcPr>
          <w:p>
            <w:r>
              <w:rPr>
                <w:rFonts w:ascii="Times New Roman" w:hAnsi="Times New Roman"/>
                <w:sz w:val="20"/>
              </w:rPr>
              <w:t>CESD-R ≥ 16</w:t>
            </w:r>
          </w:p>
        </w:tc>
        <w:tc>
          <w:tcPr>
            <w:tcW w:w="1587" w:type="dxa"/>
          </w:tcPr>
          <w:p>
            <w:r>
              <w:rPr>
                <w:rFonts w:ascii="Times New Roman" w:hAnsi="Times New Roman"/>
                <w:sz w:val="20"/>
              </w:rPr>
              <w:t>28,6 % (155/542)</w:t>
            </w:r>
          </w:p>
        </w:tc>
        <w:tc>
          <w:tcPr>
            <w:tcW w:w="1587" w:type="dxa"/>
          </w:tcPr>
          <w:p>
            <w:r>
              <w:rPr>
                <w:rFonts w:ascii="Times New Roman" w:hAnsi="Times New Roman"/>
                <w:sz w:val="20"/>
              </w:rPr>
              <w:t>23,9 % (125/523)</w:t>
            </w:r>
          </w:p>
        </w:tc>
        <w:tc>
          <w:tcPr>
            <w:tcW w:w="1814" w:type="dxa"/>
          </w:tcPr>
          <w:p>
            <w:r>
              <w:rPr>
                <w:rFonts w:ascii="Times New Roman" w:hAnsi="Times New Roman"/>
                <w:sz w:val="20"/>
              </w:rPr>
              <w:t>0,56 (0,36–0,88)</w:t>
            </w:r>
          </w:p>
        </w:tc>
        <w:tc>
          <w:tcPr>
            <w:tcW w:w="963" w:type="dxa"/>
          </w:tcPr>
          <w:p>
            <w:r>
              <w:rPr>
                <w:rFonts w:ascii="Times New Roman" w:hAnsi="Times New Roman"/>
                <w:sz w:val="20"/>
              </w:rPr>
              <w:t>0,011</w:t>
            </w:r>
          </w:p>
        </w:tc>
      </w:tr>
      <w:tr>
        <w:tc>
          <w:tcPr>
            <w:tcW w:w="1134" w:type="dxa"/>
          </w:tcPr>
          <w:p>
            <w:r>
              <w:rPr>
                <w:rFonts w:ascii="Times New Roman" w:hAnsi="Times New Roman"/>
                <w:sz w:val="20"/>
              </w:rPr>
              <w:t>6 tháng</w:t>
            </w:r>
          </w:p>
        </w:tc>
        <w:tc>
          <w:tcPr>
            <w:tcW w:w="1701" w:type="dxa"/>
          </w:tcPr>
          <w:p>
            <w:r>
              <w:rPr>
                <w:rFonts w:ascii="Times New Roman" w:hAnsi="Times New Roman"/>
                <w:sz w:val="20"/>
              </w:rPr>
              <w:t>CESD-R ≥ 16</w:t>
            </w:r>
          </w:p>
        </w:tc>
        <w:tc>
          <w:tcPr>
            <w:tcW w:w="1587" w:type="dxa"/>
          </w:tcPr>
          <w:p>
            <w:r>
              <w:rPr>
                <w:rFonts w:ascii="Times New Roman" w:hAnsi="Times New Roman"/>
                <w:sz w:val="20"/>
              </w:rPr>
              <w:t>29,2 % (157/537)</w:t>
            </w:r>
          </w:p>
        </w:tc>
        <w:tc>
          <w:tcPr>
            <w:tcW w:w="1587" w:type="dxa"/>
          </w:tcPr>
          <w:p>
            <w:r>
              <w:rPr>
                <w:rFonts w:ascii="Times New Roman" w:hAnsi="Times New Roman"/>
                <w:sz w:val="20"/>
              </w:rPr>
              <w:t>26,3 % (138/524)</w:t>
            </w:r>
          </w:p>
        </w:tc>
        <w:tc>
          <w:tcPr>
            <w:tcW w:w="1814" w:type="dxa"/>
          </w:tcPr>
          <w:p>
            <w:r>
              <w:rPr>
                <w:rFonts w:ascii="Times New Roman" w:hAnsi="Times New Roman"/>
                <w:sz w:val="20"/>
              </w:rPr>
              <w:t>0,75 (0,51–1,09)</w:t>
            </w:r>
          </w:p>
        </w:tc>
        <w:tc>
          <w:tcPr>
            <w:tcW w:w="963" w:type="dxa"/>
          </w:tcPr>
          <w:p>
            <w:r>
              <w:rPr>
                <w:rFonts w:ascii="Times New Roman" w:hAnsi="Times New Roman"/>
                <w:sz w:val="20"/>
              </w:rPr>
              <w:t>0,132</w:t>
            </w:r>
          </w:p>
        </w:tc>
      </w:tr>
    </w:tbl>
    <w:p>
      <w:pPr>
        <w:jc w:val="both"/>
      </w:pPr>
      <w:r>
        <w:rPr>
          <w:rFonts w:ascii="Times New Roman" w:hAnsi="Times New Roman"/>
          <w:b w:val="0"/>
          <w:i w:val="0"/>
          <w:sz w:val="24"/>
        </w:rPr>
        <w:t>Cohen d = 0,11 cho trầm cảm ở thời điểm 2 tuần — hiệu ứng nhỏ nhưng có ý nghĩa thống kê. Để so sánh: meta-analysis các chương trình phòng ngừa phổ quát toàn cầu có median Cohen d khoảng 0,18 cho trầm cảm (Stockings et al. 2016). Happy House nằm dưới median nhưng vẫn trong khoảng biến thiên bình thường của các can thiệp phổ quát.</w:t>
      </w:r>
    </w:p>
    <w:p>
      <w:pPr>
        <w:jc w:val="both"/>
      </w:pPr>
      <w:r>
        <w:rPr>
          <w:rFonts w:ascii="Times New Roman" w:hAnsi="Times New Roman"/>
          <w:b w:val="0"/>
          <w:i w:val="0"/>
          <w:sz w:val="24"/>
        </w:rPr>
        <w:t>Hiện tượng fade-out ở 6 tháng là vấn đề đáng lo ngại. Các trial RAP ở Úc và New Zealand cho thấy hiệu quả thường duy trì 10–18 tháng mà không fade out rõ rệt. Tác giả Happy House đưa ra hai giải thích tiềm tàng: (a) COVID-19 lockdown tại Việt Nam trong thời gian theo dõi (từ 12/2020 đến 5/2021) phá vỡ hỗ trợ xã hội và tăng stress phổ quát, có thể che mờ hiệu quả can thiệp; (b) 6 buổi được rút gọn từ 11 buổi RAP gốc có thể là "liều chưa đủ".</w:t>
      </w:r>
    </w:p>
    <w:p>
      <w:pPr>
        <w:jc w:val="both"/>
      </w:pPr>
      <w:r>
        <w:rPr>
          <w:rFonts w:ascii="Times New Roman" w:hAnsi="Times New Roman"/>
          <w:b w:val="0"/>
          <w:i w:val="0"/>
          <w:sz w:val="24"/>
        </w:rPr>
        <w:t>Từ các giải thích trên, nhóm tác giả báo cáo này đề xuất: cần thiết kế booster sessions ở mốc 3, 6 và 12 tháng để duy trì hiệu quả can thiệp trong các RCT Việt Nam tương lai.</w:t>
      </w:r>
    </w:p>
    <w:p>
      <w:pPr>
        <w:jc w:val="both"/>
      </w:pPr>
      <w:r>
        <w:rPr>
          <w:rFonts w:ascii="Times New Roman" w:hAnsi="Times New Roman"/>
          <w:b w:val="0"/>
          <w:i w:val="0"/>
          <w:sz w:val="24"/>
        </w:rPr>
        <w:t>Phát hiện tích cực quan trọng: thang Coping Self-Efficacy Scale (CSES) ở hai tiểu thang "giải quyết vấn đề" và "tìm kiếm hỗ trợ xã hội" duy trì ý nghĩa thống kê ở cả 2 tuần và 6 tháng (d = 0,17–0,26). Nghĩa là kỹ năng ứng phó được học trong 6 buổi giữ lại lâu dài, dù triệu chứng trầm cảm quay lại. Đây là cơ chế quan trọng: Happy House không phải "chữa trầm cảm" trực tiếp, mà là "dạy kỹ năng" — và kỹ năng bền hơn triệu chứng.</w:t>
      </w:r>
    </w:p>
    <w:p>
      <w:pPr>
        <w:jc w:val="both"/>
      </w:pPr>
      <w:r>
        <w:rPr>
          <w:rFonts w:ascii="Times New Roman" w:hAnsi="Times New Roman"/>
          <w:b/>
          <w:i w:val="0"/>
          <w:sz w:val="24"/>
        </w:rPr>
        <w:t>Điểm mạnh:</w:t>
      </w:r>
    </w:p>
    <w:p>
      <w:pPr>
        <w:jc w:val="both"/>
      </w:pPr>
      <w:r>
        <w:rPr>
          <w:rFonts w:ascii="Times New Roman" w:hAnsi="Times New Roman"/>
          <w:b w:val="0"/>
          <w:i w:val="0"/>
          <w:sz w:val="24"/>
        </w:rPr>
        <w:t>Cluster controlled trial đầu tiên tại Việt Nam về can thiệp sức khoẻ tâm thần trường học cho vị thành niên. Cỡ mẫu rất lớn (n = 1.084), tỷ lệ tham gia 96,1 %, mất mẫu dưới 3 %. RAP-A có cơ sở bằng chứng quốc tế mạnh từ Úc, New Zealand, Mauritius. Mô hình hợp tác Việt–Úc (Monash–QUT–HUPH) uy tín. Giáo viên cung cấp — phù hợp bối cảnh quốc gia thu nhập trung bình. Đăng ký thử nghiệm trước và tài trợ quốc tế.</w:t>
      </w:r>
    </w:p>
    <w:p>
      <w:pPr>
        <w:jc w:val="both"/>
      </w:pPr>
      <w:r>
        <w:rPr>
          <w:rFonts w:ascii="Times New Roman" w:hAnsi="Times New Roman"/>
          <w:b/>
          <w:i w:val="0"/>
          <w:sz w:val="24"/>
        </w:rPr>
        <w:t>Hạn chế:</w:t>
      </w:r>
    </w:p>
    <w:p>
      <w:pPr>
        <w:jc w:val="both"/>
      </w:pPr>
      <w:r>
        <w:rPr>
          <w:rFonts w:ascii="Times New Roman" w:hAnsi="Times New Roman"/>
          <w:b w:val="0"/>
          <w:i w:val="0"/>
          <w:sz w:val="24"/>
        </w:rPr>
        <w:t>(1) Can thiệp phổ quát (universal), không phải chọn lọc (targeted) — hiệu ứng nhỏ d = 0,11. (2) Fade-out ở 6 tháng. (3) Đo trầm cảm là chính, không đo lo âu riêng. (4) Chỉ lớp 10 tại Hà Nội — chưa đại diện toàn Việt Nam. (5) Phân bổ nhóm không ngẫu nhiên (có thể có bias giữa trường can thiệp và đối chứng). (6) Không có active control. (7) COVID-19 confounding trong thời gian theo dõi.</w:t>
      </w:r>
    </w:p>
    <w:p>
      <w:pPr>
        <w:pStyle w:val="Heading2"/>
      </w:pPr>
      <w:r>
        <w:rPr>
          <w:rFonts w:ascii="Times New Roman" w:hAnsi="Times New Roman"/>
          <w:color w:val="000000"/>
        </w:rPr>
        <w:t>V.5. Khuyến nghị cho đề cương can thiệp lo âu vị thành niên Việt Nam 2026–2028</w:t>
      </w:r>
    </w:p>
    <w:p>
      <w:pPr>
        <w:jc w:val="both"/>
      </w:pPr>
      <w:r>
        <w:rPr>
          <w:rFonts w:ascii="Times New Roman" w:hAnsi="Times New Roman"/>
          <w:b w:val="0"/>
          <w:i w:val="0"/>
          <w:sz w:val="24"/>
        </w:rPr>
        <w:t>Dựa trên 5 phát hiện liên bài và dữ liệu đầy đủ về Happy House, nhóm tác giả đề xuất các ưu tiên sau cho giai đoạn 2026–2028:</w:t>
      </w:r>
    </w:p>
    <w:p>
      <w:pPr>
        <w:jc w:val="both"/>
      </w:pPr>
      <w:r>
        <w:rPr>
          <w:rFonts w:ascii="Times New Roman" w:hAnsi="Times New Roman"/>
          <w:b/>
          <w:i w:val="0"/>
          <w:sz w:val="24"/>
        </w:rPr>
        <w:t>Ưu tiên 1 — Thiết kế RCT chuyên biệt cho LO ÂU tại Việt Nam.</w:t>
      </w:r>
    </w:p>
    <w:p>
      <w:pPr>
        <w:jc w:val="both"/>
      </w:pPr>
      <w:r>
        <w:rPr>
          <w:rFonts w:ascii="Times New Roman" w:hAnsi="Times New Roman"/>
          <w:b w:val="0"/>
          <w:i w:val="0"/>
          <w:sz w:val="24"/>
        </w:rPr>
        <w:t>Happy House là RCT đầu tiên nhưng đo trầm cảm là chính. Việt Nam hiện chưa có RCT chuyên biệt đo lo âu (GAD-7, DASS-Y lo âu, SIAS-17) như kết cục chính. Cần thiết kế RCT chọn lọc (targeted) với tiêu chí tuyển chọn GAD-7 ≥ 8 hoặc DASS-Y lo âu ≥ 8, cỡ mẫu tối thiểu 300 mỗi nhánh, theo dõi 3-6-12 tháng với booster sessions.</w:t>
      </w:r>
    </w:p>
    <w:p>
      <w:pPr>
        <w:jc w:val="both"/>
      </w:pPr>
      <w:r>
        <w:rPr>
          <w:rFonts w:ascii="Times New Roman" w:hAnsi="Times New Roman"/>
          <w:b/>
          <w:i w:val="0"/>
          <w:sz w:val="24"/>
        </w:rPr>
        <w:t>Ưu tiên 2 — Can thiệp tích hợp đa thành phần, không đơn lẻ.</w:t>
      </w:r>
    </w:p>
    <w:p>
      <w:pPr>
        <w:jc w:val="both"/>
      </w:pPr>
      <w:r>
        <w:rPr>
          <w:rFonts w:ascii="Times New Roman" w:hAnsi="Times New Roman"/>
          <w:b w:val="0"/>
          <w:i w:val="0"/>
          <w:sz w:val="24"/>
        </w:rPr>
        <w:t>Dựa trên phát hiện 91,6 % học sinh có đa hành vi nguy cơ, chương trình cần tích hợp bốn module: (a) tâm lý (CBT-based 6–10 buổi), (b) giấc ngủ (sleep hygiene 2 buổi), (c) vận động thể chất (PE 2 buổi + thay đổi môi trường), (d) kỹ năng giao tiếp gia đình (4 buổi phụ huynh). Tổng 14–18 buổi cho học sinh + 4 buổi cho phụ huynh.</w:t>
      </w:r>
    </w:p>
    <w:p>
      <w:pPr>
        <w:jc w:val="both"/>
      </w:pPr>
      <w:r>
        <w:rPr>
          <w:rFonts w:ascii="Times New Roman" w:hAnsi="Times New Roman"/>
          <w:b/>
          <w:i w:val="0"/>
          <w:sz w:val="24"/>
        </w:rPr>
        <w:t>Ưu tiên 3 — Áp lực học tập là mục tiêu trung tâm, không phụ trợ.</w:t>
      </w:r>
    </w:p>
    <w:p>
      <w:pPr>
        <w:jc w:val="both"/>
      </w:pPr>
      <w:r>
        <w:rPr>
          <w:rFonts w:ascii="Times New Roman" w:hAnsi="Times New Roman"/>
          <w:b w:val="0"/>
          <w:i w:val="0"/>
          <w:sz w:val="24"/>
        </w:rPr>
        <w:t>OR ≈ 11 xuyên 4 nghiên cứu độc lập là bằng chứng mạnh. Cần (a) dùng ESSA phiên bản Việt Nam cho mọi đo lường; (b) tích hợp kỹ năng quản lý thời gian, tư vấn hướng nghiệp sớm; (c) phối hợp chính sách với Bộ GD&amp;ĐT về giảm tải, bỏ xếp hạng công khai.</w:t>
      </w:r>
    </w:p>
    <w:p>
      <w:pPr>
        <w:jc w:val="both"/>
      </w:pPr>
      <w:r>
        <w:rPr>
          <w:rFonts w:ascii="Times New Roman" w:hAnsi="Times New Roman"/>
          <w:b/>
          <w:i w:val="0"/>
          <w:sz w:val="24"/>
        </w:rPr>
        <w:t>Ưu tiên 4 — Nhóm rủi ro đặc biệt: học sinh chuyên và sinh viên ngành đòi hỏi cao.</w:t>
      </w:r>
    </w:p>
    <w:p>
      <w:pPr>
        <w:jc w:val="both"/>
      </w:pPr>
      <w:r>
        <w:rPr>
          <w:rFonts w:ascii="Times New Roman" w:hAnsi="Times New Roman"/>
          <w:b w:val="0"/>
          <w:i w:val="0"/>
          <w:sz w:val="24"/>
        </w:rPr>
        <w:t>Cần chương trình riêng cho nhóm này dựa trên phát hiện OR = 4,97 của Đào Thị Ngoãn 2025 và 67,5 % "cảm thấy vô dụng" của Trần Thị Mỵ Lương 2020. Nội dung: psychoeducation về perfectionism, sàng lọc định kỳ GAD-7/PHQ-9, tư vấn chuyên biệt.</w:t>
      </w:r>
    </w:p>
    <w:p>
      <w:pPr>
        <w:jc w:val="both"/>
      </w:pPr>
      <w:r>
        <w:rPr>
          <w:rFonts w:ascii="Times New Roman" w:hAnsi="Times New Roman"/>
          <w:b/>
          <w:i w:val="0"/>
          <w:sz w:val="24"/>
        </w:rPr>
        <w:t>Ưu tiên 5 — Mở rộng địa lý.</w:t>
      </w:r>
    </w:p>
    <w:p>
      <w:pPr>
        <w:jc w:val="both"/>
      </w:pPr>
      <w:r>
        <w:rPr>
          <w:rFonts w:ascii="Times New Roman" w:hAnsi="Times New Roman"/>
          <w:b w:val="0"/>
          <w:i w:val="0"/>
          <w:sz w:val="24"/>
        </w:rPr>
        <w:t>Các nghiên cứu Việt Nam hiện tập trung ở Hà Nội, TPHCM, Huế và một số tỉnh lẻ. Khoảng trống rõ ở Tây Nguyên, miền núi phía Bắc và miền Trung. Đề xuất RCT đa trung tâm với ít nhất một điểm ở mỗi vùng.</w:t>
      </w:r>
    </w:p>
    <w:p>
      <w:pPr>
        <w:jc w:val="both"/>
      </w:pPr>
      <w:r>
        <w:rPr>
          <w:rFonts w:ascii="Times New Roman" w:hAnsi="Times New Roman"/>
          <w:b/>
          <w:i w:val="0"/>
          <w:sz w:val="24"/>
        </w:rPr>
        <w:t>Ưu tiên 6 — Phối hợp trường–gia đình.</w:t>
      </w:r>
    </w:p>
    <w:p>
      <w:pPr>
        <w:jc w:val="both"/>
      </w:pPr>
      <w:r>
        <w:rPr>
          <w:rFonts w:ascii="Times New Roman" w:hAnsi="Times New Roman"/>
          <w:b w:val="0"/>
          <w:i w:val="0"/>
          <w:sz w:val="24"/>
        </w:rPr>
        <w:t>Phát hiện OR = 0,22 của Dong 2025 về kênh giao tiếp gia đình là yếu tố bảo vệ mạnh nhất. Đề xuất workshop cha mẹ mỗi học kỳ, nội dung: cách lắng nghe không phán xét, hỏi về cảm xúc thay vì chỉ hỏi về điểm số, phát hiện dấu hiệu lo âu sớm.</w:t>
      </w:r>
    </w:p>
    <w:p>
      <w:pPr>
        <w:jc w:val="both"/>
      </w:pPr>
      <w:r>
        <w:rPr>
          <w:rFonts w:ascii="Times New Roman" w:hAnsi="Times New Roman"/>
          <w:b/>
          <w:i w:val="0"/>
          <w:sz w:val="24"/>
        </w:rPr>
        <w:t>Ưu tiên 7 — Bổ sung bằng chứng về vận động thể chất và VR therapy.</w:t>
      </w:r>
    </w:p>
    <w:p>
      <w:pPr>
        <w:jc w:val="both"/>
      </w:pPr>
      <w:r>
        <w:rPr>
          <w:rFonts w:ascii="Times New Roman" w:hAnsi="Times New Roman"/>
          <w:b w:val="0"/>
          <w:i w:val="0"/>
          <w:sz w:val="24"/>
        </w:rPr>
        <w:t>Hai khoảng trống chính trong tổng hợp 68 bài. Umbrella review JAACAP 2025 cho thấy vận động thể chất có SMD = −0,39 cho lo âu và VR therapy có tiềm năng cho SAD — cần bổ sung các nghiên cứu này và cân nhắc pilot tại Việt Nam.</w:t>
      </w:r>
    </w:p>
    <w:p>
      <w:pPr>
        <w:jc w:val="both"/>
      </w:pPr>
      <w:r>
        <w:rPr>
          <w:rFonts w:ascii="Times New Roman" w:hAnsi="Times New Roman"/>
          <w:b/>
          <w:i w:val="0"/>
          <w:sz w:val="24"/>
        </w:rPr>
        <w:t>Kết luận:</w:t>
      </w:r>
    </w:p>
    <w:p>
      <w:pPr>
        <w:jc w:val="both"/>
      </w:pPr>
      <w:r>
        <w:rPr>
          <w:rFonts w:ascii="Times New Roman" w:hAnsi="Times New Roman"/>
          <w:b w:val="0"/>
          <w:i w:val="0"/>
          <w:sz w:val="24"/>
        </w:rPr>
        <w:t>Với 68 bài nghiên cứu được tổng hợp có hệ thống, 5 phát hiện liên bài mới, và dữ liệu đầy đủ từ Happy House — RCT đầu tiên tại Việt Nam — nền tảng bằng chứng đã đủ để thiết kế đề cương RCT can thiệp lo âu vị thành niên Việt Nam giai đoạn 2026–2028. Các ưu tiên đề xuất trong phần này hướng đến mục tiêu chuyển từ can thiệp phổ quát (universal) có hiệu ứng nhỏ sang can thiệp chọn lọc (targeted) có hiệu ứng lớn hơn, tích hợp đa thành phần và mở rộng địa bàn nghiên cứu trên toàn quốc.</w:t>
      </w:r>
    </w:p>
    <w:p>
      <w:pPr>
        <w:jc w:val="center"/>
      </w:pPr>
      <w:r>
        <w:rPr>
          <w:rFonts w:ascii="Times New Roman" w:hAnsi="Times New Roman"/>
          <w:b w:val="0"/>
          <w:i/>
          <w:sz w:val="24"/>
        </w:rPr>
        <w:t>---</w:t>
      </w:r>
    </w:p>
    <w:p>
      <w:pPr>
        <w:jc w:val="center"/>
      </w:pPr>
      <w:r>
        <w:rPr>
          <w:rFonts w:ascii="Times New Roman" w:hAnsi="Times New Roman"/>
          <w:b w:val="0"/>
          <w:i/>
          <w:sz w:val="20"/>
        </w:rPr>
        <w:t>Báo cáo v5 — 12/04/2026 — tổng hợp 68 bài nghiên cứu về lo âu/trầm cảm vị thành niên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