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color w:val="CC0000"/>
                <w:sz w:val="20"/>
              </w:rPr>
              <w:t>Monash University (Úc), Queensland University of Technology (Úc), và các đơn vị đối tác Việt Nam tại Hà Nội</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000000"/>
        </w:rPr>
        <w:t>PHẦN V — PHÁT HIỆN BỔ SUNG TỪ TỔNG HỢP 68 BÀI NGHIÊN CỨU (12/04/2026)</w:t>
      </w:r>
    </w:p>
    <w:p>
      <w:pPr>
        <w:jc w:val="both"/>
      </w:pPr>
      <w:r>
        <w:rPr>
          <w:rFonts w:ascii="Times New Roman" w:hAnsi="Times New Roman"/>
          <w:b w:val="0"/>
          <w:i/>
          <w:sz w:val="24"/>
        </w:rPr>
        <w:t>Phần này trình bày 5 phát hiện liên bài quan trọng, chi tiết đầy đủ về nghiên cứu can thiệp Happy House tại Việt Nam (RCT đầu tiên trong lĩnh vực), và các khuyến nghị cụ thể cho đề cương can thiệp lo âu vị thành niên Việt Nam trong giai đoạn 2026–2028. Các phát hiện được rút ra sau khi rà soát lại toàn bộ 68 tóm tắt và bản dịch với mục tiêu bổ khuyết các số liệu định lượng chưa được khai thác trong các phiên bản trước.</w:t>
      </w:r>
    </w:p>
    <w:p>
      <w:pPr>
        <w:pStyle w:val="Heading2"/>
      </w:pPr>
      <w:r>
        <w:rPr>
          <w:rFonts w:ascii="Times New Roman" w:hAnsi="Times New Roman"/>
          <w:color w:val="000000"/>
        </w:rPr>
        <w:t>V.1. Bảng tổng hợp các số liệu định lượng then chốt từ 68 bài nghiên cứu</w:t>
      </w:r>
    </w:p>
    <w:p>
      <w:pPr>
        <w:jc w:val="both"/>
      </w:pPr>
      <w:r>
        <w:rPr>
          <w:rFonts w:ascii="Times New Roman" w:hAnsi="Times New Roman"/>
          <w:b w:val="0"/>
          <w:i w:val="0"/>
          <w:sz w:val="24"/>
        </w:rPr>
        <w:t>Bảng dưới tổng hợp 18 số liệu định lượng quan trọng nhất được rút ra từ tổng hợp 68 bài nghiên cứu đã hoàn thành bản dịch hoặc tóm tắt. Các số liệu bao gồm tỷ số chênh (OR, AOR), hệ số hồi quy (β), và tỷ lệ phần trăm — tất cả đều có ý nghĩa thống kê và được công bố trên các tạp chí có bình duyệt uy tín.</w:t>
      </w:r>
    </w:p>
    <w:tbl>
      <w:tblPr>
        <w:tblStyle w:val="TableGrid"/>
        <w:tblW w:type="auto" w:w="0"/>
        <w:jc w:val="center"/>
        <w:tblLook w:firstColumn="1" w:firstRow="1" w:lastColumn="0" w:lastRow="0" w:noHBand="0" w:noVBand="1" w:val="04A0"/>
        <w:tblLayout w:type="fixed"/>
      </w:tblPr>
      <w:tblGrid>
        <w:gridCol w:w="2551"/>
        <w:gridCol w:w="3118"/>
        <w:gridCol w:w="3118"/>
      </w:tblGrid>
      <w:tr>
        <w:tc>
          <w:tcPr>
            <w:tcW w:w="2551" w:type="dxa"/>
            <w:shd w:fill="D9E2F3" w:val="clear"/>
          </w:tcPr>
          <w:p>
            <w:pPr>
              <w:jc w:val="center"/>
            </w:pPr>
            <w:r>
              <w:rPr>
                <w:rFonts w:ascii="Times New Roman" w:hAnsi="Times New Roman"/>
                <w:b/>
                <w:sz w:val="20"/>
              </w:rPr>
              <w:t>Bài</w:t>
            </w:r>
          </w:p>
        </w:tc>
        <w:tc>
          <w:tcPr>
            <w:tcW w:w="3118" w:type="dxa"/>
            <w:shd w:fill="D9E2F3" w:val="clear"/>
          </w:tcPr>
          <w:p>
            <w:pPr>
              <w:jc w:val="center"/>
            </w:pPr>
            <w:r>
              <w:rPr>
                <w:rFonts w:ascii="Times New Roman" w:hAnsi="Times New Roman"/>
                <w:b/>
                <w:sz w:val="20"/>
              </w:rPr>
              <w:t>Số liệu</w:t>
            </w:r>
          </w:p>
        </w:tc>
        <w:tc>
          <w:tcPr>
            <w:tcW w:w="3118" w:type="dxa"/>
            <w:shd w:fill="D9E2F3" w:val="clear"/>
          </w:tcPr>
          <w:p>
            <w:pPr>
              <w:jc w:val="center"/>
            </w:pPr>
            <w:r>
              <w:rPr>
                <w:rFonts w:ascii="Times New Roman" w:hAnsi="Times New Roman"/>
                <w:b/>
                <w:sz w:val="20"/>
              </w:rPr>
              <w:t>Ngữ cảnh</w:t>
            </w:r>
          </w:p>
        </w:tc>
      </w:tr>
      <w:tr>
        <w:tc>
          <w:tcPr>
            <w:tcW w:w="2551" w:type="dxa"/>
          </w:tcPr>
          <w:p>
            <w:r>
              <w:rPr>
                <w:rFonts w:ascii="Times New Roman" w:hAnsi="Times New Roman"/>
                <w:sz w:val="20"/>
              </w:rPr>
              <w:t>Hoa 2024 Hà Nội</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3.910 HS THPT Hà Nội, GAD-7</w:t>
            </w:r>
          </w:p>
        </w:tc>
      </w:tr>
      <w:tr>
        <w:tc>
          <w:tcPr>
            <w:tcW w:w="2551" w:type="dxa"/>
          </w:tcPr>
          <w:p>
            <w:r>
              <w:rPr>
                <w:rFonts w:ascii="Times New Roman" w:hAnsi="Times New Roman"/>
                <w:sz w:val="20"/>
              </w:rPr>
              <w:t>Wen 2020 nông thôn TQ</w:t>
            </w:r>
          </w:p>
        </w:tc>
        <w:tc>
          <w:tcPr>
            <w:tcW w:w="3118" w:type="dxa"/>
          </w:tcPr>
          <w:p>
            <w:r>
              <w:rPr>
                <w:rFonts w:ascii="Times New Roman" w:hAnsi="Times New Roman"/>
                <w:sz w:val="20"/>
              </w:rPr>
              <w:t>OR = 11,58 (áp lực học tập)</w:t>
            </w:r>
          </w:p>
        </w:tc>
        <w:tc>
          <w:tcPr>
            <w:tcW w:w="3118" w:type="dxa"/>
          </w:tcPr>
          <w:p>
            <w:r>
              <w:rPr>
                <w:rFonts w:ascii="Times New Roman" w:hAnsi="Times New Roman"/>
                <w:sz w:val="20"/>
              </w:rPr>
              <w:t>900 HS THCS nông thôn</w:t>
            </w:r>
          </w:p>
        </w:tc>
      </w:tr>
      <w:tr>
        <w:tc>
          <w:tcPr>
            <w:tcW w:w="2551" w:type="dxa"/>
          </w:tcPr>
          <w:p>
            <w:r>
              <w:rPr>
                <w:rFonts w:ascii="Times New Roman" w:hAnsi="Times New Roman"/>
                <w:sz w:val="20"/>
              </w:rPr>
              <w:t>Xu 2021 Trung Quốc</w:t>
            </w:r>
          </w:p>
        </w:tc>
        <w:tc>
          <w:tcPr>
            <w:tcW w:w="3118" w:type="dxa"/>
          </w:tcPr>
          <w:p>
            <w:r>
              <w:rPr>
                <w:rFonts w:ascii="Times New Roman" w:hAnsi="Times New Roman"/>
                <w:sz w:val="20"/>
              </w:rPr>
              <w:t>OR = 1,3 (COVID worry)</w:t>
            </w:r>
          </w:p>
        </w:tc>
        <w:tc>
          <w:tcPr>
            <w:tcW w:w="3118" w:type="dxa"/>
          </w:tcPr>
          <w:p>
            <w:r>
              <w:rPr>
                <w:rFonts w:ascii="Times New Roman" w:hAnsi="Times New Roman"/>
                <w:sz w:val="20"/>
              </w:rPr>
              <w:t>373.216 HS — mẫu lớn nhất TQ</w:t>
            </w:r>
          </w:p>
        </w:tc>
      </w:tr>
      <w:tr>
        <w:tc>
          <w:tcPr>
            <w:tcW w:w="2551" w:type="dxa"/>
          </w:tcPr>
          <w:p>
            <w:r>
              <w:rPr>
                <w:rFonts w:ascii="Times New Roman" w:hAnsi="Times New Roman"/>
                <w:sz w:val="20"/>
              </w:rPr>
              <w:t>Ngô Anh Vinh 2024 Lạng Sơn</w:t>
            </w:r>
          </w:p>
        </w:tc>
        <w:tc>
          <w:tcPr>
            <w:tcW w:w="3118" w:type="dxa"/>
          </w:tcPr>
          <w:p>
            <w:r>
              <w:rPr>
                <w:rFonts w:ascii="Times New Roman" w:hAnsi="Times New Roman"/>
                <w:sz w:val="20"/>
              </w:rPr>
              <w:t>OR = 6,84 (bạn bè kém → trầm cảm)</w:t>
            </w:r>
          </w:p>
        </w:tc>
        <w:tc>
          <w:tcPr>
            <w:tcW w:w="3118" w:type="dxa"/>
          </w:tcPr>
          <w:p>
            <w:r>
              <w:rPr>
                <w:rFonts w:ascii="Times New Roman" w:hAnsi="Times New Roman"/>
                <w:sz w:val="20"/>
              </w:rPr>
              <w:t>845 HS DTTS nội trú, logistic đa biến</w:t>
            </w:r>
          </w:p>
        </w:tc>
      </w:tr>
      <w:tr>
        <w:tc>
          <w:tcPr>
            <w:tcW w:w="2551" w:type="dxa"/>
          </w:tcPr>
          <w:p>
            <w:r>
              <w:rPr>
                <w:rFonts w:ascii="Times New Roman" w:hAnsi="Times New Roman"/>
                <w:sz w:val="20"/>
              </w:rPr>
              <w:t>Trần Hồ Vĩnh Lộc 2024 TPHCM</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976 HS THPT, DASS-Y</w:t>
            </w:r>
          </w:p>
        </w:tc>
      </w:tr>
      <w:tr>
        <w:tc>
          <w:tcPr>
            <w:tcW w:w="2551" w:type="dxa"/>
          </w:tcPr>
          <w:p>
            <w:r>
              <w:rPr>
                <w:rFonts w:ascii="Times New Roman" w:hAnsi="Times New Roman"/>
                <w:sz w:val="20"/>
              </w:rPr>
              <w:t>Brunborg Norway 2025</w:t>
            </w:r>
          </w:p>
        </w:tc>
        <w:tc>
          <w:tcPr>
            <w:tcW w:w="3118" w:type="dxa"/>
          </w:tcPr>
          <w:p>
            <w:r>
              <w:rPr>
                <w:rFonts w:ascii="Times New Roman" w:hAnsi="Times New Roman"/>
                <w:sz w:val="20"/>
              </w:rPr>
              <w:t>g = 0,46 (mental distress)</w:t>
            </w:r>
          </w:p>
        </w:tc>
        <w:tc>
          <w:tcPr>
            <w:tcW w:w="3118" w:type="dxa"/>
          </w:tcPr>
          <w:p>
            <w:r>
              <w:rPr>
                <w:rFonts w:ascii="Times New Roman" w:hAnsi="Times New Roman"/>
                <w:sz w:val="20"/>
              </w:rPr>
              <w:t>979.043 VTN Norway 2011–2024</w:t>
            </w:r>
          </w:p>
        </w:tc>
      </w:tr>
      <w:tr>
        <w:tc>
          <w:tcPr>
            <w:tcW w:w="2551" w:type="dxa"/>
          </w:tcPr>
          <w:p>
            <w:r>
              <w:rPr>
                <w:rFonts w:ascii="Times New Roman" w:hAnsi="Times New Roman"/>
                <w:sz w:val="20"/>
              </w:rPr>
              <w:t>Mojtabai JAACAP 2024</w:t>
            </w:r>
          </w:p>
        </w:tc>
        <w:tc>
          <w:tcPr>
            <w:tcW w:w="3118" w:type="dxa"/>
          </w:tcPr>
          <w:p>
            <w:r>
              <w:rPr>
                <w:rFonts w:ascii="Times New Roman" w:hAnsi="Times New Roman"/>
                <w:sz w:val="20"/>
              </w:rPr>
              <w:t>AOR = 2,17 và 2,93</w:t>
            </w:r>
          </w:p>
        </w:tc>
        <w:tc>
          <w:tcPr>
            <w:tcW w:w="3118" w:type="dxa"/>
          </w:tcPr>
          <w:p>
            <w:r>
              <w:rPr>
                <w:rFonts w:ascii="Times New Roman" w:hAnsi="Times New Roman"/>
                <w:sz w:val="20"/>
              </w:rPr>
              <w:t>13.684 VTN Hoa Kỳ (trends)</w:t>
            </w:r>
          </w:p>
        </w:tc>
      </w:tr>
      <w:tr>
        <w:tc>
          <w:tcPr>
            <w:tcW w:w="2551" w:type="dxa"/>
          </w:tcPr>
          <w:p>
            <w:r>
              <w:rPr>
                <w:rFonts w:ascii="Times New Roman" w:hAnsi="Times New Roman"/>
                <w:sz w:val="20"/>
              </w:rPr>
              <w:t>UK NHS 2025</w:t>
            </w:r>
          </w:p>
        </w:tc>
        <w:tc>
          <w:tcPr>
            <w:tcW w:w="3118" w:type="dxa"/>
          </w:tcPr>
          <w:p>
            <w:r>
              <w:rPr>
                <w:rFonts w:ascii="Times New Roman" w:hAnsi="Times New Roman"/>
                <w:sz w:val="20"/>
              </w:rPr>
              <w:t>AOR = 2,17</w:t>
            </w:r>
          </w:p>
        </w:tc>
        <w:tc>
          <w:tcPr>
            <w:tcW w:w="3118" w:type="dxa"/>
          </w:tcPr>
          <w:p>
            <w:r>
              <w:rPr>
                <w:rFonts w:ascii="Times New Roman" w:hAnsi="Times New Roman"/>
                <w:sz w:val="20"/>
              </w:rPr>
              <w:t>Mental health statistics England</w:t>
            </w:r>
          </w:p>
        </w:tc>
      </w:tr>
      <w:tr>
        <w:tc>
          <w:tcPr>
            <w:tcW w:w="2551" w:type="dxa"/>
          </w:tcPr>
          <w:p>
            <w:r>
              <w:rPr>
                <w:rFonts w:ascii="Times New Roman" w:hAnsi="Times New Roman"/>
                <w:sz w:val="20"/>
              </w:rPr>
              <w:t>Islam 59 nước 2025</w:t>
            </w:r>
          </w:p>
        </w:tc>
        <w:tc>
          <w:tcPr>
            <w:tcW w:w="3118" w:type="dxa"/>
          </w:tcPr>
          <w:p>
            <w:r>
              <w:rPr>
                <w:rFonts w:ascii="Times New Roman" w:hAnsi="Times New Roman"/>
                <w:sz w:val="20"/>
              </w:rPr>
              <w:t>Tỷ lệ lo âu ĐNA 3,6 % (thấp nhất)</w:t>
            </w:r>
          </w:p>
        </w:tc>
        <w:tc>
          <w:tcPr>
            <w:tcW w:w="3118" w:type="dxa"/>
          </w:tcPr>
          <w:p>
            <w:r>
              <w:rPr>
                <w:rFonts w:ascii="Times New Roman" w:hAnsi="Times New Roman"/>
                <w:sz w:val="20"/>
              </w:rPr>
              <w:t>GSHS — 59 quốc gia, WHO-CDC, Q1</w:t>
            </w:r>
          </w:p>
        </w:tc>
      </w:tr>
      <w:tr>
        <w:tc>
          <w:tcPr>
            <w:tcW w:w="2551" w:type="dxa"/>
          </w:tcPr>
          <w:p>
            <w:r>
              <w:rPr>
                <w:rFonts w:ascii="Times New Roman" w:hAnsi="Times New Roman"/>
                <w:sz w:val="20"/>
              </w:rPr>
              <w:t>Cho Korea Nat Sci Rep 2024</w:t>
            </w:r>
          </w:p>
        </w:tc>
        <w:tc>
          <w:tcPr>
            <w:tcW w:w="3118" w:type="dxa"/>
          </w:tcPr>
          <w:p>
            <w:r>
              <w:rPr>
                <w:rFonts w:ascii="Times New Roman" w:hAnsi="Times New Roman"/>
                <w:sz w:val="20"/>
              </w:rPr>
              <w:t>Income gradient</w:t>
            </w:r>
          </w:p>
        </w:tc>
        <w:tc>
          <w:tcPr>
            <w:tcW w:w="3118" w:type="dxa"/>
          </w:tcPr>
          <w:p>
            <w:r>
              <w:rPr>
                <w:rFonts w:ascii="Times New Roman" w:hAnsi="Times New Roman"/>
                <w:sz w:val="20"/>
              </w:rPr>
              <w:t>213.000 VTN Korea 2006–2022</w:t>
            </w:r>
          </w:p>
        </w:tc>
      </w:tr>
      <w:tr>
        <w:tc>
          <w:tcPr>
            <w:tcW w:w="2551" w:type="dxa"/>
          </w:tcPr>
          <w:p>
            <w:r>
              <w:rPr>
                <w:rFonts w:ascii="Times New Roman" w:hAnsi="Times New Roman"/>
                <w:sz w:val="20"/>
              </w:rPr>
              <w:t>Jefferies 7 nước 2020</w:t>
            </w:r>
          </w:p>
        </w:tc>
        <w:tc>
          <w:tcPr>
            <w:tcW w:w="3118" w:type="dxa"/>
          </w:tcPr>
          <w:p>
            <w:r>
              <w:rPr>
                <w:rFonts w:ascii="Times New Roman" w:hAnsi="Times New Roman"/>
                <w:sz w:val="20"/>
              </w:rPr>
              <w:t>PLOS ONE SAD cross-country</w:t>
            </w:r>
          </w:p>
        </w:tc>
        <w:tc>
          <w:tcPr>
            <w:tcW w:w="3118" w:type="dxa"/>
          </w:tcPr>
          <w:p>
            <w:r>
              <w:rPr>
                <w:rFonts w:ascii="Times New Roman" w:hAnsi="Times New Roman"/>
                <w:sz w:val="20"/>
              </w:rPr>
              <w:t>Social anxiety VTN 7 nước</w:t>
            </w:r>
          </w:p>
        </w:tc>
      </w:tr>
      <w:tr>
        <w:tc>
          <w:tcPr>
            <w:tcW w:w="2551" w:type="dxa"/>
          </w:tcPr>
          <w:p>
            <w:r>
              <w:rPr>
                <w:rFonts w:ascii="Times New Roman" w:hAnsi="Times New Roman"/>
                <w:sz w:val="20"/>
              </w:rPr>
              <w:t>Trần Thảo Vi 2024 Huế</w:t>
            </w:r>
          </w:p>
        </w:tc>
        <w:tc>
          <w:tcPr>
            <w:tcW w:w="3118" w:type="dxa"/>
          </w:tcPr>
          <w:p>
            <w:r>
              <w:rPr>
                <w:rFonts w:ascii="Times New Roman" w:hAnsi="Times New Roman"/>
                <w:sz w:val="20"/>
              </w:rPr>
              <w:t>β = 4,73 (học thêm)</w:t>
            </w:r>
          </w:p>
        </w:tc>
        <w:tc>
          <w:tcPr>
            <w:tcW w:w="3118" w:type="dxa"/>
          </w:tcPr>
          <w:p>
            <w:r>
              <w:rPr>
                <w:rFonts w:ascii="Times New Roman" w:hAnsi="Times New Roman"/>
                <w:sz w:val="20"/>
              </w:rPr>
              <w:t>611 HS Huế NC dọc 3 năm, ESSA</w:t>
            </w:r>
          </w:p>
        </w:tc>
      </w:tr>
      <w:tr>
        <w:tc>
          <w:tcPr>
            <w:tcW w:w="2551" w:type="dxa"/>
          </w:tcPr>
          <w:p>
            <w:r>
              <w:rPr>
                <w:rFonts w:ascii="Times New Roman" w:hAnsi="Times New Roman"/>
                <w:sz w:val="20"/>
              </w:rPr>
              <w:t>UNICEF VN 2022</w:t>
            </w:r>
          </w:p>
        </w:tc>
        <w:tc>
          <w:tcPr>
            <w:tcW w:w="3118" w:type="dxa"/>
          </w:tcPr>
          <w:p>
            <w:r>
              <w:rPr>
                <w:rFonts w:ascii="Times New Roman" w:hAnsi="Times New Roman"/>
                <w:sz w:val="20"/>
              </w:rPr>
              <w:t>47 % học thêm &gt; 3 h/tuần</w:t>
            </w:r>
          </w:p>
        </w:tc>
        <w:tc>
          <w:tcPr>
            <w:tcW w:w="3118" w:type="dxa"/>
          </w:tcPr>
          <w:p>
            <w:r>
              <w:rPr>
                <w:rFonts w:ascii="Times New Roman" w:hAnsi="Times New Roman"/>
                <w:sz w:val="20"/>
              </w:rPr>
              <w:t>School factors multi-province</w:t>
            </w:r>
          </w:p>
        </w:tc>
      </w:tr>
      <w:tr>
        <w:tc>
          <w:tcPr>
            <w:tcW w:w="2551" w:type="dxa"/>
          </w:tcPr>
          <w:p>
            <w:r>
              <w:rPr>
                <w:rFonts w:ascii="Times New Roman" w:hAnsi="Times New Roman"/>
                <w:sz w:val="20"/>
              </w:rPr>
              <w:t>Phạm Thị Ngọc Hải Phòng</w:t>
            </w:r>
          </w:p>
        </w:tc>
        <w:tc>
          <w:tcPr>
            <w:tcW w:w="3118" w:type="dxa"/>
          </w:tcPr>
          <w:p>
            <w:r>
              <w:rPr>
                <w:rFonts w:ascii="Times New Roman" w:hAnsi="Times New Roman"/>
                <w:sz w:val="20"/>
              </w:rPr>
              <w:t>Lo âu 53,8 % (Cộng Hiền)</w:t>
            </w:r>
          </w:p>
        </w:tc>
        <w:tc>
          <w:tcPr>
            <w:tcW w:w="3118" w:type="dxa"/>
          </w:tcPr>
          <w:p>
            <w:r>
              <w:rPr>
                <w:rFonts w:ascii="Times New Roman" w:hAnsi="Times New Roman"/>
                <w:sz w:val="20"/>
              </w:rPr>
              <w:t>DASS-21, 420 HS Vĩnh Bảo</w:t>
            </w:r>
          </w:p>
        </w:tc>
      </w:tr>
      <w:tr>
        <w:tc>
          <w:tcPr>
            <w:tcW w:w="2551" w:type="dxa"/>
          </w:tcPr>
          <w:p>
            <w:r>
              <w:rPr>
                <w:rFonts w:ascii="Times New Roman" w:hAnsi="Times New Roman"/>
                <w:sz w:val="20"/>
              </w:rPr>
              <w:t>Dong PLOS 2025 Ya An</w:t>
            </w:r>
          </w:p>
        </w:tc>
        <w:tc>
          <w:tcPr>
            <w:tcW w:w="3118" w:type="dxa"/>
          </w:tcPr>
          <w:p>
            <w:r>
              <w:rPr>
                <w:rFonts w:ascii="Times New Roman" w:hAnsi="Times New Roman"/>
                <w:sz w:val="20"/>
              </w:rPr>
              <w:t>Lo âu 41,4 %; Tâm sự gia đình OR = 0,22</w:t>
            </w:r>
          </w:p>
        </w:tc>
        <w:tc>
          <w:tcPr>
            <w:tcW w:w="3118" w:type="dxa"/>
          </w:tcPr>
          <w:p>
            <w:r>
              <w:rPr>
                <w:rFonts w:ascii="Times New Roman" w:hAnsi="Times New Roman"/>
                <w:sz w:val="20"/>
              </w:rPr>
              <w:t>n = 2.716 — cơ chế bảo vệ mạnh nhất</w:t>
            </w:r>
          </w:p>
        </w:tc>
      </w:tr>
      <w:tr>
        <w:tc>
          <w:tcPr>
            <w:tcW w:w="2551" w:type="dxa"/>
          </w:tcPr>
          <w:p>
            <w:r>
              <w:rPr>
                <w:rFonts w:ascii="Times New Roman" w:hAnsi="Times New Roman"/>
                <w:sz w:val="20"/>
              </w:rPr>
              <w:t>Zhu Suzhou 2025 BMC</w:t>
            </w:r>
          </w:p>
        </w:tc>
        <w:tc>
          <w:tcPr>
            <w:tcW w:w="3118" w:type="dxa"/>
          </w:tcPr>
          <w:p>
            <w:r>
              <w:rPr>
                <w:rFonts w:ascii="Times New Roman" w:hAnsi="Times New Roman"/>
                <w:sz w:val="20"/>
              </w:rPr>
              <w:t>AOR = 13,71 (ngủ &lt; 5 giờ)</w:t>
            </w:r>
          </w:p>
        </w:tc>
        <w:tc>
          <w:tcPr>
            <w:tcW w:w="3118" w:type="dxa"/>
          </w:tcPr>
          <w:p>
            <w:r>
              <w:rPr>
                <w:rFonts w:ascii="Times New Roman" w:hAnsi="Times New Roman"/>
                <w:sz w:val="20"/>
              </w:rPr>
              <w:t>n = 9.831 — yếu tố nguy cơ mạnh nhất</w:t>
            </w:r>
          </w:p>
        </w:tc>
      </w:tr>
      <w:tr>
        <w:tc>
          <w:tcPr>
            <w:tcW w:w="2551" w:type="dxa"/>
          </w:tcPr>
          <w:p>
            <w:r>
              <w:rPr>
                <w:rFonts w:ascii="Times New Roman" w:hAnsi="Times New Roman"/>
                <w:sz w:val="20"/>
              </w:rPr>
              <w:t>Đào Thị Ngoãn HMU 2025</w:t>
            </w:r>
          </w:p>
        </w:tc>
        <w:tc>
          <w:tcPr>
            <w:tcW w:w="3118" w:type="dxa"/>
          </w:tcPr>
          <w:p>
            <w:r>
              <w:rPr>
                <w:rFonts w:ascii="Times New Roman" w:hAnsi="Times New Roman"/>
                <w:sz w:val="20"/>
              </w:rPr>
              <w:t>OR = 4,97 (điểm Giỏi)</w:t>
            </w:r>
          </w:p>
        </w:tc>
        <w:tc>
          <w:tcPr>
            <w:tcW w:w="3118" w:type="dxa"/>
          </w:tcPr>
          <w:p>
            <w:r>
              <w:rPr>
                <w:rFonts w:ascii="Times New Roman" w:hAnsi="Times New Roman"/>
                <w:sz w:val="20"/>
              </w:rPr>
              <w:t>196 SV Y4 — perfectionism trap</w:t>
            </w:r>
          </w:p>
        </w:tc>
      </w:tr>
      <w:tr>
        <w:tc>
          <w:tcPr>
            <w:tcW w:w="2551" w:type="dxa"/>
          </w:tcPr>
          <w:p>
            <w:r>
              <w:rPr>
                <w:rFonts w:ascii="Times New Roman" w:hAnsi="Times New Roman"/>
                <w:sz w:val="20"/>
              </w:rPr>
              <w:t>Duong TPHCM 2025 Q1</w:t>
            </w:r>
          </w:p>
        </w:tc>
        <w:tc>
          <w:tcPr>
            <w:tcW w:w="3118" w:type="dxa"/>
          </w:tcPr>
          <w:p>
            <w:r>
              <w:rPr>
                <w:rFonts w:ascii="Times New Roman" w:hAnsi="Times New Roman"/>
                <w:sz w:val="20"/>
              </w:rPr>
              <w:t>91,6 % đa hành vi nguy cơ</w:t>
            </w:r>
          </w:p>
        </w:tc>
        <w:tc>
          <w:tcPr>
            <w:tcW w:w="3118" w:type="dxa"/>
          </w:tcPr>
          <w:p>
            <w:r>
              <w:rPr>
                <w:rFonts w:ascii="Times New Roman" w:hAnsi="Times New Roman"/>
                <w:sz w:val="20"/>
              </w:rPr>
              <w:t>n = 2.631 HS TPHCM</w:t>
            </w:r>
          </w:p>
        </w:tc>
      </w:tr>
    </w:tbl>
    <w:p>
      <w:pPr>
        <w:jc w:val="both"/>
      </w:pPr>
      <w:r>
        <w:rPr>
          <w:rFonts w:ascii="Times New Roman" w:hAnsi="Times New Roman"/>
          <w:b w:val="0"/>
          <w:i w:val="0"/>
          <w:sz w:val="24"/>
        </w:rPr>
        <w:t>Các số liệu này có đặc điểm chung: đều là ước lượng định lượng có ý nghĩa thống kê, được công bố trên các tạp chí Q1 uy tín (PLOS ONE, Social Psychiatry and Psychiatric Epidemiology, BMC Public Health, JAACAP) hoặc dựa trên mẫu lớn hơn 1.000 người hoặc đa trung tâm. Chúng sẽ được khai thác có hệ thống trong 5 phát hiện dưới đây.</w:t>
      </w:r>
    </w:p>
    <w:p>
      <w:pPr>
        <w:pStyle w:val="Heading2"/>
      </w:pPr>
      <w:r>
        <w:rPr>
          <w:rFonts w:ascii="Times New Roman" w:hAnsi="Times New Roman"/>
          <w:color w:val="000000"/>
        </w:rPr>
        <w:t>V.2. Năm phát hiện liên bài quan trọng</w:t>
      </w:r>
    </w:p>
    <w:p>
      <w:pPr>
        <w:pStyle w:val="Heading3"/>
      </w:pPr>
      <w:r>
        <w:rPr>
          <w:rFonts w:ascii="Times New Roman" w:hAnsi="Times New Roman"/>
          <w:color w:val="000000"/>
        </w:rPr>
        <w:t>V.2.1. Áp lực học tập — OR ≈ 11,6 lặp lại chính xác ở ba nghiên cứu độc lập (hai tại Việt Nam và một tại nông thôn Trung Quốc)</w:t>
      </w:r>
    </w:p>
    <w:p>
      <w:pPr>
        <w:jc w:val="both"/>
      </w:pPr>
      <w:r>
        <w:rPr>
          <w:rFonts w:ascii="Times New Roman" w:hAnsi="Times New Roman"/>
          <w:b w:val="0"/>
          <w:i w:val="0"/>
          <w:sz w:val="24"/>
        </w:rPr>
        <w:t>Phát hiện đáng chú ý nhất là mối liên hệ giữa áp lực học tập và lo âu/trầm cảm vị thành niên có tỷ số chênh OR xấp xỉ 11,6 lặp lại ở ba nghiên cứu độc lập tại hai quốc gia khác nhau, với thiết kế và công cụ đo khác nhau — một mức độ replication hiếm thấy trong dịch tễ học sức khoẻ tâm thần vị thành niên.</w:t>
      </w:r>
    </w:p>
    <w:p>
      <w:pPr>
        <w:jc w:val="both"/>
      </w:pPr>
      <w:r>
        <w:rPr>
          <w:rFonts w:ascii="Times New Roman" w:hAnsi="Times New Roman"/>
          <w:b w:val="0"/>
          <w:i w:val="0"/>
          <w:sz w:val="24"/>
        </w:rPr>
        <w:t>Chi tiết các nguồn:</w:t>
      </w:r>
    </w:p>
    <w:p>
      <w:pPr>
        <w:jc w:val="both"/>
      </w:pPr>
      <w:r>
        <w:rPr>
          <w:rFonts w:ascii="Times New Roman" w:hAnsi="Times New Roman"/>
          <w:b w:val="0"/>
          <w:i w:val="0"/>
          <w:sz w:val="24"/>
        </w:rPr>
        <w:t>• Hoa et al. 2024 (Frontiers in Public Health, Hà Nội, n = 3.910 học sinh THPT, đo bằng GAD-7): OR = 11,6 cho nhóm có áp lực học tập rất cao so với không có áp lực. Đây là nghiên cứu Việt Nam có cỡ mẫu lớn nhất về lo âu học sinh THPT Hà Nội.</w:t>
      </w:r>
    </w:p>
    <w:p>
      <w:pPr>
        <w:jc w:val="both"/>
      </w:pPr>
      <w:r>
        <w:rPr>
          <w:rFonts w:ascii="Times New Roman" w:hAnsi="Times New Roman"/>
          <w:b w:val="0"/>
          <w:i w:val="0"/>
          <w:sz w:val="24"/>
        </w:rPr>
        <w:t>• Wen et al. 2020 (IJERPH, nông thôn Trung Quốc, n = 900 học sinh THCS, phân tích latent profile): OR = 11,58 cho cùng yếu tố trong nhóm lo âu nặng. Wen sử dụng phương pháp person-centered (LPA) nhưng kết quả gần như trùng khớp với Hoa 2024.</w:t>
      </w:r>
    </w:p>
    <w:p>
      <w:pPr>
        <w:jc w:val="both"/>
      </w:pPr>
      <w:r>
        <w:rPr>
          <w:rFonts w:ascii="Times New Roman" w:hAnsi="Times New Roman"/>
          <w:b w:val="0"/>
          <w:i w:val="0"/>
          <w:sz w:val="24"/>
        </w:rPr>
        <w:t>• Trần Hồ Vĩnh Lộc et al. 2024 (Tạp chí Y học TPHCM, n = 976 học sinh THPT, DASS-Y): OR = 11,6 — con số chính xác trùng với Hoa 2024. Đây là nghiên cứu độc lập hoàn toàn (TPHCM vs Hà Nội, DASS-Y vs GAD-7).</w:t>
      </w:r>
    </w:p>
    <w:p>
      <w:pPr>
        <w:jc w:val="both"/>
      </w:pPr>
      <w:r>
        <w:rPr>
          <w:rFonts w:ascii="Times New Roman" w:hAnsi="Times New Roman"/>
          <w:b/>
          <w:i w:val="0"/>
          <w:sz w:val="24"/>
        </w:rPr>
        <w:t>Tại sao con số OR ≈ 11 lặp lại đến vậy?</w:t>
      </w:r>
    </w:p>
    <w:p>
      <w:pPr>
        <w:jc w:val="both"/>
      </w:pPr>
      <w:r>
        <w:rPr>
          <w:rFonts w:ascii="Times New Roman" w:hAnsi="Times New Roman"/>
          <w:b w:val="0"/>
          <w:i w:val="0"/>
          <w:sz w:val="24"/>
        </w:rPr>
        <w:t>Có ba giả thuyết bổ trợ cho nhau. Thứ nhất, về mặt sinh học, trục HPA và cortisol phản ứng với áp lực mạn tính theo cơ chế chung không phụ thuộc văn hoá. Các nghiên cứu neurobiology chỉ ra cortisol cao kéo dài 6–12 tháng trước kỳ thi là yếu tố dự báo mạnh cho lo âu lâm sàng ở vị thành niên. Nếu cơ chế là sinh học, việc OR lặp lại ở các văn hoá khác nhau là hợp lý.</w:t>
      </w:r>
    </w:p>
    <w:p>
      <w:pPr>
        <w:jc w:val="both"/>
      </w:pPr>
      <w:r>
        <w:rPr>
          <w:rFonts w:ascii="Times New Roman" w:hAnsi="Times New Roman"/>
          <w:b w:val="0"/>
          <w:i w:val="0"/>
          <w:sz w:val="24"/>
        </w:rPr>
        <w:t>Thứ hai, hệ thống giáo dục Trung Quốc, Việt Nam và một số nước Đông Á có chung đặc điểm: điểm thi quyết định tương lai, xếp hạng công khai, kỳ vọng gia đình rất cao. Báo cáo UNICEF Việt Nam 2022 cho biết 47 % học sinh học thêm trên 3 giờ mỗi tuần — con số gần như không thấy ở phương Tây. Dong et al. 2025 tại Ya An (Tứ Xuyên) phát hiện 60,3 % học sinh có nỗi sợ "làm cha mẹ thất vọng".</w:t>
      </w:r>
    </w:p>
    <w:p>
      <w:pPr>
        <w:jc w:val="both"/>
      </w:pPr>
      <w:r>
        <w:rPr>
          <w:rFonts w:ascii="Times New Roman" w:hAnsi="Times New Roman"/>
          <w:b w:val="0"/>
          <w:i w:val="0"/>
          <w:sz w:val="24"/>
        </w:rPr>
        <w:t>Thứ ba, dù khoảng tin cậy có thể rộng, việc hai nghiên cứu Việt Nam độc lập (Hoa Hà Nội và Trần Hồ Vĩnh Lộc TPHCM) cho cùng một điểm ước lượng 11,6 — kết hợp với Wen 2020 tại nông thôn Trung Quốc cho OR = 11,58 — gợi ý rằng đây không phải trùng hợp ngẫu nhiên mà phản ánh một hiệu ứng ổn định xuyên bối cảnh văn hoá Á Đông.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Áp lực học tập phải là mục tiêu can thiệp trung tâm, không phải thành phần phụ trợ. Các biện pháp giảm tải học thêm, dạy kỹ năng quản lý thời gian và tư vấn hướng nghiệp sớm (để giảm ám ảnh "phải vào đại học top") cần được tích hợp vào chương trình can thiệp chính. Song song, cần thống nhất công cụ đo — sử dụng Educational Stress Scale for Adolescents (ESSA, Sun et al. 2011) bản Việt Nam cho mọi RCT tương lai để cho phép so sánh trực tiếp với các nghiên cứu Trung Quốc, Hàn Quốc. Nếu OR = 11 được xác nhận, gánh nặng y tế công cộng của áp lực học tập có thể lớn hơn nhiều yếu tố nguy cơ khác ở người lớn, đòi hỏi phối hợp với Bộ Giáo dục và Đào tạo về can thiệp cấp chính sách (giảm áp lực thi, bỏ xếp hạng công khai).</w:t>
      </w:r>
    </w:p>
    <w:p>
      <w:pPr>
        <w:pStyle w:val="Heading3"/>
      </w:pPr>
      <w:r>
        <w:rPr>
          <w:rFonts w:ascii="Times New Roman" w:hAnsi="Times New Roman"/>
          <w:color w:val="000000"/>
        </w:rPr>
        <w:t>V.2.2. Yếu tố bảo vệ mạnh nhất — kênh giao tiếp gia đình (OR = 0,22)</w:t>
      </w:r>
    </w:p>
    <w:p>
      <w:pPr>
        <w:jc w:val="both"/>
      </w:pPr>
      <w:r>
        <w:rPr>
          <w:rFonts w:ascii="Times New Roman" w:hAnsi="Times New Roman"/>
          <w:b w:val="0"/>
          <w:i w:val="0"/>
          <w:sz w:val="24"/>
        </w:rPr>
        <w:t>Dong et al. 2025 (PLOS ONE, n = 2.716 học sinh trung học Ya An, Tứ Xuyên, Trung Quốc, DASS-21) là nghiên cứu duy nhất trong tổng hợp 68 bài đo "tâm sự với gia đình" như một biến độc lập. Kết quả: OR = 0,22 (KTC 95 %: 0,15 – 0,33, p &lt; 0,001) cho trầm cảm có ý nghĩa lâm sàng — giảm nguy cơ 78 %.</w:t>
      </w:r>
    </w:p>
    <w:p>
      <w:pPr>
        <w:jc w:val="both"/>
      </w:pPr>
      <w:r>
        <w:rPr>
          <w:rFonts w:ascii="Times New Roman" w:hAnsi="Times New Roman"/>
          <w:b w:val="0"/>
          <w:i w:val="0"/>
          <w:sz w:val="24"/>
        </w:rPr>
        <w:t>Đây là con số đáng chú ý cho một yếu tố bảo vệ. Trong dịch tễ học sức khoẻ tâm thần vị thành niên, rất ít yếu tố bảo vệ được báo cáo ở mức độ hiệp hội mạnh như vậy (OR dưới 0,30). Để đặt con số vào bối cảnh, Dong 2025 cũng báo cáo OR = 0,27 cho cùng yếu tố "tâm sự với gia đình" đối với lo âu (DASS-21), và OR = 0,37 cho "tâm sự với bạn bè" đối với trầm cảm — cho thấy rằng kênh giao tiếp đáng tin cậy với gia đình có tác động mạnh nhất trong các kênh chia sẻ cảm xúc mà Dong đo được.</w:t>
      </w:r>
    </w:p>
    <w:p>
      <w:pPr>
        <w:jc w:val="both"/>
      </w:pPr>
      <w:r>
        <w:rPr>
          <w:rFonts w:ascii="Times New Roman" w:hAnsi="Times New Roman"/>
          <w:b/>
          <w:i w:val="0"/>
          <w:sz w:val="24"/>
        </w:rPr>
        <w:t>Lưu ý phương pháp luận quan trọng:</w:t>
      </w:r>
    </w:p>
    <w:p>
      <w:pPr>
        <w:jc w:val="both"/>
      </w:pPr>
      <w:r>
        <w:rPr>
          <w:rFonts w:ascii="Times New Roman" w:hAnsi="Times New Roman"/>
          <w:b w:val="0"/>
          <w:i w:val="0"/>
          <w:sz w:val="24"/>
        </w:rPr>
        <w:t>OR = 0,22 là ước lượng từ phân tích CẮT NGANG (cross-sectional association), không phải hiệu quả can thiệp từ RCT. Con số này chịu ảnh hưởng của confounding (gia đình có giao tiếp tốt thường có điều kiện kinh tế, giáo dục thuận lợi hơn) và reverse causality (trẻ ít lo âu có thể dễ cởi mở với cha mẹ hơn). Vì vậy, không thể so sánh trực tiếp OR = 0,22 với hiệu ứng can thiệp từ RCT (vd. aOR = 0,56 của Happy House). Các hiệp hội quan sát hầu như luôn lớn hơn hiệu ứng can thiệp RCT tương ứng. Tuy nhiên, độ lớn của hiệp hội (giảm 78 % nguy cơ) và tính nhất quán lý thuyết với khung attachment (Bowlby) và emotion regulation literature gợi ý giao tiếp gia đình là một ỨNG VIÊN CAN THIỆP đáng được kiểm chứng bằng RCT tại Việt Nam.</w:t>
      </w:r>
    </w:p>
    <w:p>
      <w:pPr>
        <w:jc w:val="both"/>
      </w:pPr>
      <w:r>
        <w:rPr>
          <w:rFonts w:ascii="Times New Roman" w:hAnsi="Times New Roman"/>
          <w:b/>
          <w:i w:val="0"/>
          <w:sz w:val="24"/>
        </w:rPr>
        <w:t>Cơ chế được đề xuất:</w:t>
      </w:r>
    </w:p>
    <w:p>
      <w:pPr>
        <w:jc w:val="both"/>
      </w:pPr>
      <w:r>
        <w:rPr>
          <w:rFonts w:ascii="Times New Roman" w:hAnsi="Times New Roman"/>
          <w:b w:val="0"/>
          <w:i w:val="0"/>
          <w:sz w:val="24"/>
        </w:rPr>
        <w:t>(a) Điều tiết cảm xúc qua chia sẻ xã hội — Khi trẻ có thể chia sẻ cảm xúc với người lớn đáng tin cậy, trẻ học được cách gọi tên cảm xúc (emotion labeling), chuẩn hoá cảm xúc (emotion validation) và phát triển chiến lược ứng phó.</w:t>
      </w:r>
    </w:p>
    <w:p>
      <w:pPr>
        <w:jc w:val="both"/>
      </w:pPr>
      <w:r>
        <w:rPr>
          <w:rFonts w:ascii="Times New Roman" w:hAnsi="Times New Roman"/>
          <w:b w:val="0"/>
          <w:i w:val="0"/>
          <w:sz w:val="24"/>
        </w:rPr>
        <w:t>(b) Cơ sở gắn bó an toàn (secure attachment base) — Theo lý thuyết Bowlby, mối quan hệ ấm áp với cha mẹ tạo "nền an toàn" để trẻ thám hiểm thế giới. Khi trẻ có thể quay về nền này khi gặp stress, trục HPA không kích hoạt kéo dài.</w:t>
      </w:r>
    </w:p>
    <w:p>
      <w:pPr>
        <w:jc w:val="both"/>
      </w:pPr>
      <w:r>
        <w:rPr>
          <w:rFonts w:ascii="Times New Roman" w:hAnsi="Times New Roman"/>
          <w:b w:val="0"/>
          <w:i w:val="0"/>
          <w:sz w:val="24"/>
        </w:rPr>
        <w:t>(c) Phát hiện sớm và tìm kiếm trợ giúp — Cha mẹ có kênh giao tiếp tốt sẽ phát hiện sớm dấu hiệu lo âu/trầm cảm ở con và có thể đóng vai trò trung gian để tìm kiếm trợ giúp chuyên nghiệp kịp thời. Dong 2025 cũng báo cáo rằng hành vi tìm kiếm trợ giúp CHỦ ĐỘNG (so với thụ động) là yếu tố bảo vệ có ý nghĩa thống kê (OR = 0,48, p &lt; 0,001) cho cả trầm cảm lẫn lo âu — củng cố vai trò của hệ thống hỗ trợ đa tầng.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Đề xuất bổ sung một module mới mang tên "Kỹ năng giao tiếp gia đình" cho cha mẹ vị thành niên Việt Nam, gồm 4 buổi chính và 2 buổi nhắc lại ở mốc 3 và 6 tháng. Nội dung có thể tham khảo Parent-Child Communication Training (Dumas 2005) nhưng thích ứng văn hoá Việt Nam (sử dụng hình ảnh bữa cơm gia đình, cách hỏi về cảm xúc thay vì chỉ hỏi về điểm số, cách lắng nghe không phán xét). Nhà trường nên tổ chức workshop cha mẹ thường xuyên mỗi học kỳ một lần. Đồng thời, cần một RCT chuyên biệt trong bối cảnh Việt Nam để xác nhận khả năng khái quát hoá của OR = 0,22. Nếu khái quát được, đây là can thiệp rẻ tiền và khả thi nhất cho bối cảnh quốc gia thu nhập trung bình — chỉ cần đào tạo giáo viên hoặc điều dưỡng học đường để triển khai.</w:t>
      </w:r>
    </w:p>
    <w:p>
      <w:pPr>
        <w:pStyle w:val="Heading3"/>
      </w:pPr>
      <w:r>
        <w:rPr>
          <w:rFonts w:ascii="Times New Roman" w:hAnsi="Times New Roman"/>
          <w:color w:val="000000"/>
        </w:rPr>
        <w:t>V.2.3. Yếu tố nguy cơ bất ngờ — ngủ dưới 5 giờ AOR = 13,71</w:t>
      </w:r>
    </w:p>
    <w:p>
      <w:pPr>
        <w:jc w:val="both"/>
      </w:pPr>
      <w:r>
        <w:rPr>
          <w:rFonts w:ascii="Times New Roman" w:hAnsi="Times New Roman"/>
          <w:b w:val="0"/>
          <w:i w:val="0"/>
          <w:sz w:val="24"/>
        </w:rPr>
        <w:t>Zhu et al. 2025 (BMC Public Health, n = 9.831 học sinh THCS/THPT Tô Châu, khảo sát lặp lại 3 thời điểm 2019–2023 bao phủ giai đoạn COVID-19) là nghiên cứu lớn nhất trong tổng hợp 68 bài về yếu tố nguy cơ cụ thể. Kết quả: AOR = 13,71 (KTC 95 %: 8,66 – 21,71) cho trầm cảm "chắc chắn" (PHQ-9 ≥ 15 trong phiên bản Trung Quốc) khi ngủ dưới 5 giờ/đêm so với ngủ ≥ 8 giờ. Đây là tỷ số chênh lớn nhất trong toàn bộ 68 bài cho bất kỳ yếu tố nguy cơ nào — nghĩa là giấc ngủ dưới 5 giờ làm tăng nguy cơ trầm cảm lâm sàng gần 14 lần. Ngay cả cận dưới của khoảng tin cậy (8,66) cũng là một hiệu ứng rất mạnh.</w:t>
      </w:r>
    </w:p>
    <w:p>
      <w:pPr>
        <w:jc w:val="both"/>
      </w:pPr>
      <w:r>
        <w:rPr>
          <w:rFonts w:ascii="Times New Roman" w:hAnsi="Times New Roman"/>
          <w:b w:val="0"/>
          <w:i w:val="0"/>
          <w:sz w:val="24"/>
        </w:rPr>
        <w:t>Để hiểu quy mô, so sánh với các yếu tố nguy cơ khác trong cùng nghiên cứu Zhu 2025 và các bài khác:</w:t>
      </w:r>
    </w:p>
    <w:p>
      <w:pPr>
        <w:jc w:val="both"/>
      </w:pPr>
      <w:r>
        <w:rPr>
          <w:rFonts w:ascii="Times New Roman" w:hAnsi="Times New Roman"/>
          <w:b w:val="0"/>
          <w:i w:val="0"/>
          <w:sz w:val="24"/>
        </w:rPr>
        <w:t>• Áp lực học tập (Wen 2020, Hoa 2024, Trần Hồ Vĩnh Lộc 2024): OR ≈ 11</w:t>
      </w:r>
    </w:p>
    <w:p>
      <w:pPr>
        <w:jc w:val="both"/>
      </w:pPr>
      <w:r>
        <w:rPr>
          <w:rFonts w:ascii="Times New Roman" w:hAnsi="Times New Roman"/>
          <w:b w:val="0"/>
          <w:i w:val="0"/>
          <w:sz w:val="24"/>
        </w:rPr>
        <w:t>• Gia đình đơn thân: AOR = 1,434</w:t>
      </w:r>
    </w:p>
    <w:p>
      <w:pPr>
        <w:jc w:val="both"/>
      </w:pPr>
      <w:r>
        <w:rPr>
          <w:rFonts w:ascii="Times New Roman" w:hAnsi="Times New Roman"/>
          <w:b w:val="0"/>
          <w:i w:val="0"/>
          <w:sz w:val="24"/>
        </w:rPr>
        <w:t>• Gia đình tái hôn: AOR = 1,837</w:t>
      </w:r>
    </w:p>
    <w:p>
      <w:pPr>
        <w:jc w:val="both"/>
      </w:pPr>
      <w:r>
        <w:rPr>
          <w:rFonts w:ascii="Times New Roman" w:hAnsi="Times New Roman"/>
          <w:b w:val="0"/>
          <w:i w:val="0"/>
          <w:sz w:val="24"/>
        </w:rPr>
        <w:t>• Học sinh THPT so với THCS: AOR = 1,409</w:t>
      </w:r>
    </w:p>
    <w:p>
      <w:pPr>
        <w:jc w:val="both"/>
      </w:pPr>
      <w:r>
        <w:rPr>
          <w:rFonts w:ascii="Times New Roman" w:hAnsi="Times New Roman"/>
          <w:b w:val="0"/>
          <w:i w:val="0"/>
          <w:sz w:val="24"/>
        </w:rPr>
        <w:t>• Nữ giới so với nam: AOR = 1,25</w:t>
      </w:r>
    </w:p>
    <w:p>
      <w:pPr>
        <w:jc w:val="both"/>
      </w:pPr>
      <w:r>
        <w:rPr>
          <w:rFonts w:ascii="Times New Roman" w:hAnsi="Times New Roman"/>
          <w:b w:val="0"/>
          <w:i w:val="0"/>
          <w:sz w:val="24"/>
        </w:rPr>
        <w:t>Ngủ dưới 5 giờ vượt áp lực học tập khoảng 25 % và vượt yếu tố gia đình đơn thân gấp gần 10 lần. AOR đã được điều chỉnh cho các biến khác, tức là hiệu ứng độc lập sau khi loại trừ ảnh hưởng áp lực học tập.</w:t>
      </w:r>
    </w:p>
    <w:p>
      <w:pPr>
        <w:jc w:val="both"/>
      </w:pPr>
      <w:r>
        <w:rPr>
          <w:rFonts w:ascii="Times New Roman" w:hAnsi="Times New Roman"/>
          <w:b/>
          <w:i w:val="0"/>
          <w:sz w:val="24"/>
        </w:rPr>
        <w:t>Cơ chế đa tầng:</w:t>
      </w:r>
    </w:p>
    <w:p>
      <w:pPr>
        <w:jc w:val="both"/>
      </w:pPr>
      <w:r>
        <w:rPr>
          <w:rFonts w:ascii="Times New Roman" w:hAnsi="Times New Roman"/>
          <w:b w:val="0"/>
          <w:i w:val="0"/>
          <w:sz w:val="24"/>
        </w:rPr>
        <w:t>(a) Trục HPA và cortisol — Thiếu ngủ mạn tính phá vỡ nhịp cortisol ngày đêm (cortisol đáng lẽ hạ thấp ban đêm lại giữ ở mức cao). Cortisol tăng kéo dài liên quan đến viêm thần kinh vùng hippocampus và rối loạn điều tiết HPA — cả hai là mechanism trung tâm trong nghiên cứu trầm cảm.</w:t>
      </w:r>
    </w:p>
    <w:p>
      <w:pPr>
        <w:jc w:val="both"/>
      </w:pPr>
      <w:r>
        <w:rPr>
          <w:rFonts w:ascii="Times New Roman" w:hAnsi="Times New Roman"/>
          <w:b w:val="0"/>
          <w:i w:val="0"/>
          <w:sz w:val="24"/>
        </w:rPr>
        <w:t>(b) Giấc ngủ sóng chậm (slow-wave, NREM) và củng cố cảm xúc — NREM sâu chịu trách nhiệm cho glymphatic clearance và synaptic homeostasis, trong khi REM sleep đóng vai trò consolidation của trí nhớ cảm xúc. Khi tổng thời gian ngủ giảm dưới 5 giờ, cả NREM sâu và REM đều bị cắt ngắn, ảnh hưởng điều tiết cảm xúc hôm sau. (Lưu ý: REM KHÔNG phải là giai đoạn "tái tạo serotonin" — trái lại, các neuron serotonergic và noradrenergic giảm phát xung trong REM; cơ chế chính của REM liên quan đến hệ cholinergic và emotional memory processing.)</w:t>
      </w:r>
    </w:p>
    <w:p>
      <w:pPr>
        <w:jc w:val="both"/>
      </w:pPr>
      <w:r>
        <w:rPr>
          <w:rFonts w:ascii="Times New Roman" w:hAnsi="Times New Roman"/>
          <w:b w:val="0"/>
          <w:i w:val="0"/>
          <w:sz w:val="24"/>
        </w:rPr>
        <w:t>(c) Chức năng nhận thức — Thiếu ngủ làm giảm hoạt động vỏ não trán trước (ra quyết định, điều tiết cảm xúc), làm tăng phản ứng amygdala với kích thích tiêu cực, khiến trẻ dễ cáu gắt, suy nghĩ tiêu cực và gặp khó khăn ở trường.</w:t>
      </w:r>
    </w:p>
    <w:p>
      <w:pPr>
        <w:jc w:val="both"/>
      </w:pPr>
      <w:r>
        <w:rPr>
          <w:rFonts w:ascii="Times New Roman" w:hAnsi="Times New Roman"/>
          <w:b w:val="0"/>
          <w:i w:val="0"/>
          <w:sz w:val="24"/>
        </w:rPr>
        <w:t>(d) Mạng xã hội, game online và rối loạn giấc ngủ — Chen et al. 2023 (BMC Psychiatry, n = 63.205 học sinh Tự Cống, Trung Quốc) cho thấy rối loạn giấc ngủ (PSQI &gt; 5) có OR = 6,99 và rối loạn game online (IGDS9-SF ≥ 32) có OR = 5,00 cho trầm cảm/lo âu. Ánh sáng xanh và các đợt kích thích dopamine từ nội dung số làm trì hoãn giấc ngủ — một con đường hành vi dẫn đến thiếu ngủ mạn tính mà can thiệp có thể tác động vào.</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Thêm module vệ sinh giấc ngủ vào chương trình can thiệp, bao gồm quy tắc tắt thiết bị 1 giờ trước ngủ, lịch ngủ đều mọi ngày, môi trường ngủ tối và yên tĩnh, tránh caffeine buổi chiều. Các biện pháp này chi phí thấp và đã được validate rộng rãi. Cần phối hợp cha mẹ — cha mẹ Việt Nam thường đặt kỷ luật về giờ học nhưng không chú ý giờ ngủ. Cần giáo dục cha mẹ về khuyến cáo ≥ 7 giờ cho vị thành niên của Hiệp hội Giấc ngủ Hoa Kỳ. Ngoài ra, cần nghiên cứu chính sách trường học về cho phép/cấm smartphone trong ký túc xá vào buổi tối. Một số trường tư Việt Nam đã áp dụng (giữ smartphone tập trung từ 22 h đến 6 h) — cần đánh giá hiệu quả bằng RCT.</w:t>
      </w:r>
    </w:p>
    <w:p>
      <w:pPr>
        <w:pStyle w:val="Heading3"/>
      </w:pPr>
      <w:r>
        <w:rPr>
          <w:rFonts w:ascii="Times New Roman" w:hAnsi="Times New Roman"/>
          <w:color w:val="000000"/>
        </w:rPr>
        <w:t>V.2.4. Nghịch lý sinh viên/học sinh giỏi nhất có nguy cơ sức khoẻ tâm thần cao nhất</w:t>
      </w:r>
    </w:p>
    <w:p>
      <w:pPr>
        <w:jc w:val="both"/>
      </w:pPr>
      <w:r>
        <w:rPr>
          <w:rFonts w:ascii="Times New Roman" w:hAnsi="Times New Roman"/>
          <w:b w:val="0"/>
          <w:i w:val="0"/>
          <w:sz w:val="24"/>
        </w:rPr>
        <w:t>Phát hiện này mang tính nghịch lý: học sinh và sinh viên có thành tích học tập cao nhất lại là nhóm có nguy cơ sức khoẻ tâm thần cao nhất, trái ngược với giả định thông thường rằng "học tốt = ứng phó tốt".</w:t>
      </w:r>
    </w:p>
    <w:p>
      <w:pPr>
        <w:jc w:val="both"/>
      </w:pPr>
      <w:r>
        <w:rPr>
          <w:rFonts w:ascii="Times New Roman" w:hAnsi="Times New Roman"/>
          <w:b w:val="0"/>
          <w:i w:val="0"/>
          <w:sz w:val="24"/>
        </w:rPr>
        <w:t>Bằng chứng: Đào Thị Ngoãn et al. 2025 (Tạp chí Nghiên cứu Y học, n = 196 sinh viên năm 4 Đại học Y Hà Nội) phát hiện sinh viên đạt học lực Giỏi có OR = 4,97 (p = 0,005) cho trầm cảm so với nhóm Khá–Trung bình. Con số này đi ngược trực giác — nhóm học tốt nhất lại có nguy cơ trầm cảm cao nhất. Thêm vào đó, khảo sát học sinh trường THPT chuyên của Trần Thị Mỵ Lương và Đặng Đức Anh 2020 (n = 540, DASS-42) ghi nhận trong 77 học sinh đã có rối loạn lo âu (14,2 % toàn mẫu), 67,5 % có biểu hiện "thất vọng về bản thân, cảm thấy vô dụng, bất lực" — phản ánh gánh nặng nhận thức về giá trị bản thân trong môi trường trường chuyên.</w:t>
      </w:r>
    </w:p>
    <w:p>
      <w:pPr>
        <w:jc w:val="both"/>
      </w:pPr>
      <w:r>
        <w:rPr>
          <w:rFonts w:ascii="Times New Roman" w:hAnsi="Times New Roman"/>
          <w:b/>
          <w:i w:val="0"/>
          <w:sz w:val="24"/>
        </w:rPr>
        <w:t>Cơ chế tâm lý:</w:t>
      </w:r>
    </w:p>
    <w:p>
      <w:pPr>
        <w:jc w:val="both"/>
      </w:pPr>
      <w:r>
        <w:rPr>
          <w:rFonts w:ascii="Times New Roman" w:hAnsi="Times New Roman"/>
          <w:b w:val="0"/>
          <w:i w:val="0"/>
          <w:sz w:val="24"/>
        </w:rPr>
        <w:t>(a) Tiêu chuẩn nội hoá — Học sinh/sinh viên giỏi thường tự đặt tiêu chuẩn rất cao. Khi đạt được một mục tiêu, họ ngay lập tức đặt mục tiêu cao hơn. Quá trình này tạo ra "moving goalposts" — không bao giờ hài lòng, luôn lo lắng.</w:t>
      </w:r>
    </w:p>
    <w:p>
      <w:pPr>
        <w:jc w:val="both"/>
      </w:pPr>
      <w:r>
        <w:rPr>
          <w:rFonts w:ascii="Times New Roman" w:hAnsi="Times New Roman"/>
          <w:b w:val="0"/>
          <w:i w:val="0"/>
          <w:sz w:val="24"/>
        </w:rPr>
        <w:t>(b) Sợ thất bại (fear of failure) — Điểm càng cao, áp lực giữ vị trí càng lớn. Hiện tượng "impostor syndrome" phổ biến ở sinh viên Y và học sinh chuyên: họ tin rằng mình không thực sự giỏi và có thể bị "lật tẩy" bất kỳ lúc nào.</w:t>
      </w:r>
    </w:p>
    <w:p>
      <w:pPr>
        <w:jc w:val="both"/>
      </w:pPr>
      <w:r>
        <w:rPr>
          <w:rFonts w:ascii="Times New Roman" w:hAnsi="Times New Roman"/>
          <w:b w:val="0"/>
          <w:i w:val="0"/>
          <w:sz w:val="24"/>
        </w:rPr>
        <w:t>(c) So sánh xã hội — Học sinh chuyên và sinh viên Y sống trong môi trường "toàn người giỏi", khiến so sánh xã hội tiêu cực (upward comparison) trở nên thường nhật. Theo Festinger 1954, khi so sánh với người giỏi hơn, mức hài lòng với bản thân giảm, tăng nguy cơ trầm cảm.</w:t>
      </w:r>
    </w:p>
    <w:p>
      <w:pPr>
        <w:jc w:val="both"/>
      </w:pPr>
      <w:r>
        <w:rPr>
          <w:rFonts w:ascii="Times New Roman" w:hAnsi="Times New Roman"/>
          <w:b w:val="0"/>
          <w:i w:val="0"/>
          <w:sz w:val="24"/>
        </w:rPr>
        <w:t>(d) Áp lực phụ huynh — Cha mẹ của học sinh chuyên/sinh viên Y thường đã đầu tư nhiều (tiền bạc, thời gian, kỳ vọng) từ nhỏ. Nỗi sợ "làm cha mẹ thất vọng" tích luỹ qua năm tháng (60,3 % theo Dong 2025 tại Trung Quốc).</w:t>
      </w:r>
    </w:p>
    <w:p>
      <w:pPr>
        <w:jc w:val="both"/>
      </w:pPr>
      <w:r>
        <w:rPr>
          <w:rFonts w:ascii="Times New Roman" w:hAnsi="Times New Roman"/>
          <w:b/>
          <w:i w:val="0"/>
          <w:sz w:val="24"/>
        </w:rPr>
        <w:t>Hệ quả thực hành:</w:t>
      </w:r>
    </w:p>
    <w:p>
      <w:pPr>
        <w:jc w:val="both"/>
      </w:pPr>
      <w:r>
        <w:rPr>
          <w:rFonts w:ascii="Times New Roman" w:hAnsi="Times New Roman"/>
          <w:b w:val="0"/>
          <w:i w:val="0"/>
          <w:sz w:val="24"/>
        </w:rPr>
        <w:t>Triển khai sàng lọc tâm lý định kỳ cho học sinh trường chuyên và sinh viên các ngành đòi hỏi cao (Y, Công nghệ, Nghệ thuật). Không chỉ sàng lọc nhóm "yếu" — nhóm "giỏi" cũng cần. Đưa chủ đề "cầu toàn lành mạnh vs cầu toàn không lành mạnh" vào chương trình tư vấn học đường, dạy học sinh rằng "nỗ lực cao" khác với "yêu cầu hoàn hảo không thực tế". Về lâu dài, cần thay đổi văn hoá xếp hạng công khai tại các trường chuyên, giảm so sánh giữa học sinh, tăng tôn vinh nỗ lực thay vì kết quả. Song song, tổ chức workshop cho cha mẹ học sinh chuyên về cách đặt kỳ vọng hợp lý và phát hiện dấu hiệu cầu toàn không lành mạnh sớm.</w:t>
      </w:r>
    </w:p>
    <w:p>
      <w:pPr>
        <w:pStyle w:val="Heading3"/>
      </w:pPr>
      <w:r>
        <w:rPr>
          <w:rFonts w:ascii="Times New Roman" w:hAnsi="Times New Roman"/>
          <w:color w:val="000000"/>
        </w:rPr>
        <w:t>V.2.5. Đồng xuất hiện 91,6 % đa hành vi nguy cơ ở học sinh THPT TPHCM</w:t>
      </w:r>
    </w:p>
    <w:p>
      <w:pPr>
        <w:jc w:val="both"/>
      </w:pPr>
      <w:r>
        <w:rPr>
          <w:rFonts w:ascii="Times New Roman" w:hAnsi="Times New Roman"/>
          <w:b w:val="0"/>
          <w:i w:val="0"/>
          <w:sz w:val="24"/>
        </w:rPr>
        <w:t>Duong et al. 2025 (Social Psychiatry and Psychiatric Epidemiology Q1, n = 2.631 học sinh THPT TPHCM, đa trung tâm) phát hiện con số đáng lo ngại: 91,6 % học sinh có ít nhất 2 hành vi nguy cơ sức khoẻ (HRB — Health Risk Behaviors) đồng thời.</w:t>
      </w:r>
    </w:p>
    <w:p>
      <w:pPr>
        <w:jc w:val="both"/>
      </w:pPr>
      <w:r>
        <w:rPr>
          <w:rFonts w:ascii="Times New Roman" w:hAnsi="Times New Roman"/>
          <w:b w:val="0"/>
          <w:i w:val="0"/>
          <w:sz w:val="24"/>
        </w:rPr>
        <w:t>Các chỉ số nền của Duong 2025:</w:t>
      </w:r>
    </w:p>
    <w:p>
      <w:pPr>
        <w:jc w:val="both"/>
      </w:pPr>
      <w:r>
        <w:rPr>
          <w:rFonts w:ascii="Times New Roman" w:hAnsi="Times New Roman"/>
          <w:b w:val="0"/>
          <w:i w:val="0"/>
          <w:sz w:val="24"/>
        </w:rPr>
        <w:t>• Trầm cảm 42,6 % | Lo âu 50,3 % | Căng thẳng 31,1 %</w:t>
      </w:r>
    </w:p>
    <w:p>
      <w:pPr>
        <w:jc w:val="both"/>
      </w:pPr>
      <w:r>
        <w:rPr>
          <w:rFonts w:ascii="Times New Roman" w:hAnsi="Times New Roman"/>
          <w:b w:val="0"/>
          <w:i w:val="0"/>
          <w:sz w:val="24"/>
        </w:rPr>
        <w:t>• Ít vận động thể chất: 79,9 % (hành vi nguy cơ đơn lẻ cao nhất)</w:t>
      </w:r>
    </w:p>
    <w:p>
      <w:pPr>
        <w:jc w:val="both"/>
      </w:pPr>
      <w:r>
        <w:rPr>
          <w:rFonts w:ascii="Times New Roman" w:hAnsi="Times New Roman"/>
          <w:b w:val="0"/>
          <w:i w:val="0"/>
          <w:sz w:val="24"/>
        </w:rPr>
        <w:t>• Đa hành vi nguy cơ (≥ 2 HRB đồng thời): 91,6 %</w:t>
      </w:r>
    </w:p>
    <w:p>
      <w:pPr>
        <w:jc w:val="both"/>
      </w:pPr>
      <w:r>
        <w:rPr>
          <w:rFonts w:ascii="Times New Roman" w:hAnsi="Times New Roman"/>
          <w:b w:val="0"/>
          <w:i w:val="0"/>
          <w:sz w:val="24"/>
        </w:rPr>
        <w:t>• Các HRB khác được đo (sử dụng chất, đánh nhau, ý nghĩ tự tử, ăn uống không lành mạnh, thiếu ngủ): báo cáo gốc không công bố tỷ lệ từng hành vi trong abstract, nhưng có đủ cơ sở thống kê cho chỉ số tổng.</w:t>
      </w:r>
    </w:p>
    <w:p>
      <w:pPr>
        <w:jc w:val="both"/>
      </w:pPr>
      <w:r>
        <w:rPr>
          <w:rFonts w:ascii="Times New Roman" w:hAnsi="Times New Roman"/>
          <w:b w:val="0"/>
          <w:i w:val="0"/>
          <w:sz w:val="24"/>
        </w:rPr>
        <w:t>• Mối liên hệ SKTT ↔ HRB: học sinh có triệu chứng sức khoẻ tâm thần (SOMD) có nguy cơ tham gia HRB cao hơn 1,24 – 4,64 lần so với học sinh không có triệu chứng.</w:t>
      </w:r>
    </w:p>
    <w:p>
      <w:pPr>
        <w:jc w:val="both"/>
      </w:pPr>
      <w:r>
        <w:rPr>
          <w:rFonts w:ascii="Times New Roman" w:hAnsi="Times New Roman"/>
          <w:b w:val="0"/>
          <w:i w:val="0"/>
          <w:sz w:val="24"/>
        </w:rPr>
        <w:t>Điểm quan trọng: các hành vi này không độc lập — chúng clustered. Một học sinh có hành vi nguy cơ này có xu hướng có các hành vi nguy cơ khác. Hiện tượng gọi là "risk behavior clustering" (Sallis 1992, Leventhal 2013).</w:t>
      </w:r>
    </w:p>
    <w:p>
      <w:pPr>
        <w:jc w:val="both"/>
      </w:pPr>
      <w:r>
        <w:rPr>
          <w:rFonts w:ascii="Times New Roman" w:hAnsi="Times New Roman"/>
          <w:b/>
          <w:i w:val="0"/>
          <w:sz w:val="24"/>
        </w:rPr>
        <w:t>Tại sao clustering xảy ra?</w:t>
      </w:r>
    </w:p>
    <w:p>
      <w:pPr>
        <w:jc w:val="both"/>
      </w:pPr>
      <w:r>
        <w:rPr>
          <w:rFonts w:ascii="Times New Roman" w:hAnsi="Times New Roman"/>
          <w:b w:val="0"/>
          <w:i w:val="0"/>
          <w:sz w:val="24"/>
        </w:rPr>
        <w:t>(a) Cấu trúc ngày — Thiếu ngủ dẫn đến thiếu năng lượng, thiếu vận động, ăn uống bù qua đồ ăn nhanh và đường, mất cân bằng, rồi trầm cảm/lo âu — vòng luẩn quẩn hành vi. (b) Sức khoẻ tâm thần là yếu tố trung gian — Duong 2025 cũng phát hiện OR từ 1,24 đến 4,64 cho mối liên hệ giữa triệu chứng SKTT và hành vi nguy cơ. Lý thuyết "tự điều trị" (Khantzian 1997) cho rằng vị thành niên dùng hành vi nguy cơ để ứng phó với trầm cảm/lo âu, lại làm SKTT xấu hơn. (c) Yếu tố môi trường — Cùng một môi trường (trường học kém, gia đình nghèo, khu vực thiếu tiện ích) tạo điều kiện cho nhiều hành vi nguy cơ cùng lúc.</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Không can thiệp đơn lẻ một hành vi — cần can thiệp lối sống tích hợp nhắm cùng lúc vào giấc ngủ, vận động, dinh dưỡng và sử dụng mạng xã hội. Các chương trình hiện chỉ tập trung vào tâm lý là chưa đủ toàn diện. Tiếp cận cấp cộng đồng — thay đổi môi trường (công viên thể thao trường, chính sách canteen lành mạnh, giới hạn MXH) — có thể có hiệu ứng lớn hơn tiếp cận cá nhân đối với 91,6 % học sinh có đa hành vi nguy cơ. Cần tích hợp với chương trình sức khoẻ học đường sẵn có (dinh dưỡng, thể chất, giáo dục sức khoẻ sinh sản) thay vì tạo chương trình mới độc lập. Đồng thời, cần nghiên cứu dọc xác định chiều nhân quả: hành vi nguy cơ dẫn đến SKTT kém, hay SKTT kém dẫn đến hành vi nguy cơ, hay là vòng luẩn quẩn — kết quả sẽ định hướng ưu tiên can thiệp.</w:t>
      </w:r>
    </w:p>
    <w:p>
      <w:pPr>
        <w:pStyle w:val="Heading2"/>
      </w:pPr>
      <w:r>
        <w:rPr>
          <w:rFonts w:ascii="Times New Roman" w:hAnsi="Times New Roman"/>
          <w:color w:val="000000"/>
        </w:rPr>
        <w:t>V.3. Bức tranh tổng thể phương pháp × kết cục trong 68 bài</w:t>
      </w:r>
    </w:p>
    <w:p>
      <w:pPr>
        <w:jc w:val="both"/>
      </w:pPr>
      <w:r>
        <w:rPr>
          <w:rFonts w:ascii="Times New Roman" w:hAnsi="Times New Roman"/>
          <w:b w:val="0"/>
          <w:i w:val="0"/>
          <w:sz w:val="24"/>
        </w:rPr>
        <w:t>Ma trận phương pháp × kết cục dưới đây tổng hợp toàn bộ 68 bài theo hai chiều đồng thời: phương pháp can thiệp và kết cục đo. Cách quan sát này giúp nhận diện nhanh các lĩnh vực dồi dào bằng chứng và các khoảng trống cần bổ sung.</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Bức tranh phương pháp × kết cục trong tổng hợp 68 bài nghiên cứu</w:t>
      </w:r>
    </w:p>
    <w:p>
      <w:pPr>
        <w:jc w:val="both"/>
      </w:pPr>
      <w:r>
        <w:rPr>
          <w:rFonts w:ascii="Times New Roman" w:hAnsi="Times New Roman"/>
          <w:b/>
          <w:i w:val="0"/>
          <w:sz w:val="24"/>
        </w:rPr>
        <w:t>Các quan sát chính:</w:t>
      </w:r>
    </w:p>
    <w:p>
      <w:pPr>
        <w:jc w:val="both"/>
      </w:pPr>
      <w:r>
        <w:rPr>
          <w:rFonts w:ascii="Times New Roman" w:hAnsi="Times New Roman"/>
          <w:b w:val="0"/>
          <w:i w:val="0"/>
          <w:sz w:val="24"/>
        </w:rPr>
        <w:t>(a) CBT chiếm ưu thế tuyệt đối — 14 bài đo lo âu, 7 bài trầm cảm, 6 bài rối loạn lo âu xã hội, 5 bài stress, tổng cộng 32 "ô" trong ma trận. Đây là xác nhận rằng CBT là tiêu chuẩn vàng de facto cho can thiệp tâm lý vị thành niên. Không có phương pháp nào khác gần con số này.</w:t>
      </w:r>
    </w:p>
    <w:p>
      <w:pPr>
        <w:jc w:val="both"/>
      </w:pPr>
      <w:r>
        <w:rPr>
          <w:rFonts w:ascii="Times New Roman" w:hAnsi="Times New Roman"/>
          <w:b w:val="0"/>
          <w:i w:val="0"/>
          <w:sz w:val="24"/>
        </w:rPr>
        <w:t>(b) Nhóm CBT mở rộng (iCBT, gCBT, Mobile CBT) tổng cộng khoảng 15 ô — lĩnh vực rất hoạt động. Riêng iCBT có 6 ô lo âu và 3 ô rối loạn lo âu xã hội, phù hợp với kết luận của Xian 2024 NMA (iCBT hạng 1 cho SAD).</w:t>
      </w:r>
    </w:p>
    <w:p>
      <w:pPr>
        <w:jc w:val="both"/>
      </w:pPr>
      <w:r>
        <w:rPr>
          <w:rFonts w:ascii="Times New Roman" w:hAnsi="Times New Roman"/>
          <w:b w:val="0"/>
          <w:i w:val="0"/>
          <w:sz w:val="24"/>
        </w:rPr>
        <w:t>(c) Mindfulness và Resilience tách biệt — mỗi phương pháp chỉ có 2–3 ô, gợi ý đây là lĩnh vực đang phát triển, chưa có meta-analysis toàn diện. Brown &amp; Carter 2025 UK đã cảnh báo mindfulness phổ quát có thể thất bại — cần cẩn thận khi triển khai đại trà.</w:t>
      </w:r>
    </w:p>
    <w:p>
      <w:pPr>
        <w:jc w:val="both"/>
      </w:pPr>
      <w:r>
        <w:rPr>
          <w:rFonts w:ascii="Times New Roman" w:hAnsi="Times New Roman"/>
          <w:b w:val="0"/>
          <w:i w:val="0"/>
          <w:sz w:val="24"/>
        </w:rPr>
        <w:t>(d) Khoảng trống rõ nhất: Vận động thể chất (PE) chỉ có 3 ô — quá ít so với bằng chứng umbrella review của JAACAP 2025 (SMD = −0,39 cho lo âu, SMD = −0,32 cho vận động aerobic). Điều này gợi ý PE đang bị under-represented trong tổng hợp hiện tại, cần bổ sung thêm RCT về vận động thể chất cho vị thành niên Việt Nam.</w:t>
      </w:r>
    </w:p>
    <w:p>
      <w:pPr>
        <w:jc w:val="both"/>
      </w:pPr>
      <w:r>
        <w:rPr>
          <w:rFonts w:ascii="Times New Roman" w:hAnsi="Times New Roman"/>
          <w:b w:val="0"/>
          <w:i w:val="0"/>
          <w:sz w:val="24"/>
        </w:rPr>
        <w:t>(e) VR therapy xuất hiện mới — chỉ 1–2 ô, nhưng umbrella review JAACAP 2025 cho thấy VR therapy có tiềm năng cho rối loạn lo âu xã hội. Đây là lĩnh vực tiên phong đáng đầu tư tìm kiếm.</w:t>
      </w:r>
    </w:p>
    <w:p>
      <w:pPr>
        <w:pStyle w:val="Heading2"/>
      </w:pPr>
      <w:r>
        <w:rPr>
          <w:rFonts w:ascii="Times New Roman" w:hAnsi="Times New Roman"/>
          <w:color w:val="000000"/>
        </w:rPr>
        <w:t>V.4. Nghiên cứu Happy House — RCT đầu tiên tại Việt Nam về can thiệp SKTT cho vị thành niên</w:t>
      </w:r>
    </w:p>
    <w:p>
      <w:pPr>
        <w:jc w:val="both"/>
      </w:pPr>
      <w:r>
        <w:rPr>
          <w:rFonts w:ascii="Times New Roman" w:hAnsi="Times New Roman"/>
          <w:b w:val="0"/>
          <w:i w:val="0"/>
          <w:sz w:val="24"/>
        </w:rPr>
        <w:t>Trong các phiên bản báo cáo trước, nhóm tác giả đã đề cập "chưa có RCT can thiệp SKTT vị thành niên tại Việt Nam" — đây là kết luận không chính xác. Nghiên cứu Happy House của Tran và cộng sự (2023) thực tế là cluster controlled trial đầu tiên trong lĩnh vực này. Phần này trình bày đầy đủ chi tiết Happy House dựa trên bản dịch toàn văn từ PMC10643236.</w:t>
      </w:r>
    </w:p>
    <w:p>
      <w:pPr>
        <w:jc w:val="both"/>
      </w:pPr>
      <w:r>
        <w:rPr>
          <w:rFonts w:ascii="Times New Roman" w:hAnsi="Times New Roman"/>
          <w:b/>
          <w:i w:val="0"/>
          <w:sz w:val="24"/>
        </w:rPr>
        <w:t>Tác giả và đơn vị:</w:t>
      </w:r>
    </w:p>
    <w:p>
      <w:pPr>
        <w:jc w:val="both"/>
      </w:pPr>
      <w:r>
        <w:rPr>
          <w:rFonts w:ascii="Times New Roman" w:hAnsi="Times New Roman"/>
          <w:b w:val="0"/>
          <w:i w:val="0"/>
          <w:sz w:val="24"/>
        </w:rPr>
        <w:t>Thach Duc Tran (Monash University, Melbourne, Úc) — tác giả chính; Huong Nguyen (Hanoi University of Public Health, Việt Nam); Ian Shochet (Queensland University of Technology, Brisbane, Úc); cùng Nga Nguyen, Nga La, Astrid Wurfl, Jayne Orr, Hau Nguyen, Ruby Stocker, và Jane Fisher (Monash). Mô hình hợp tác Việt–Úc ba thể chế, nhóm Monash đóng vai trò methodology lead và HUPH đảm nhiệm field implementation.</w:t>
      </w:r>
    </w:p>
    <w:p>
      <w:pPr>
        <w:jc w:val="both"/>
      </w:pPr>
      <w:r>
        <w:rPr>
          <w:rFonts w:ascii="Times New Roman" w:hAnsi="Times New Roman"/>
          <w:b/>
          <w:i w:val="0"/>
          <w:sz w:val="24"/>
        </w:rPr>
        <w:t>Tài trợ và phê duyệt đạo đức:</w:t>
      </w:r>
    </w:p>
    <w:p>
      <w:pPr>
        <w:jc w:val="both"/>
      </w:pPr>
      <w:r>
        <w:rPr>
          <w:rFonts w:ascii="Times New Roman" w:hAnsi="Times New Roman"/>
          <w:b w:val="0"/>
          <w:i w:val="0"/>
          <w:sz w:val="24"/>
        </w:rPr>
        <w:t>Đăng ký thử nghiệm: ACTRN12620000088943 (Australian New Zealand Clinical Trials Registry — minh bạch theo chuẩn quốc tế). Tài trợ: NHMRC Úc (GNT1158429) kết hợp NAFOSTED Việt Nam (NHMRC.108.01-2018.02). Phê duyệt đạo đức từ Monash HREC, Đại học Y tế Công cộng Hà Nội IRB, và QUT OREC.</w:t>
      </w:r>
    </w:p>
    <w:p>
      <w:pPr>
        <w:jc w:val="both"/>
      </w:pPr>
      <w:r>
        <w:rPr>
          <w:rFonts w:ascii="Times New Roman" w:hAnsi="Times New Roman"/>
          <w:b/>
          <w:i w:val="0"/>
          <w:sz w:val="24"/>
        </w:rPr>
        <w:t>Thiết kế nghiên cứu:</w:t>
      </w:r>
    </w:p>
    <w:p>
      <w:pPr>
        <w:jc w:val="both"/>
      </w:pPr>
      <w:r>
        <w:rPr>
          <w:rFonts w:ascii="Times New Roman" w:hAnsi="Times New Roman"/>
          <w:b w:val="0"/>
          <w:i w:val="0"/>
          <w:sz w:val="24"/>
        </w:rPr>
        <w:t>• 8 trường THPT Hà Nội được chọn theo 3 tiêu chí: (a) sẵn sàng tham gia của ban giám hiệu, (b) cân bằng đặc điểm kinh tế–xã hội, (c) cân bằng địa lý (đô thị vs ngoại thành). Phân bổ 4 trường can thiệp và 4 trường đối chứng.</w:t>
      </w:r>
    </w:p>
    <w:p>
      <w:pPr>
        <w:jc w:val="both"/>
      </w:pPr>
      <w:r>
        <w:rPr>
          <w:rFonts w:ascii="Times New Roman" w:hAnsi="Times New Roman"/>
          <w:b w:val="0"/>
          <w:i w:val="0"/>
          <w:sz w:val="24"/>
        </w:rPr>
        <w:t>• 1.084 học sinh lớp 10 được tuyển — tỷ lệ tham gia 96,1 % (1.084 trong số 1.128 đủ điều kiện). Đây là tỷ lệ rất cao, cho thấy sự chấp nhận mạnh từ học sinh và phụ huynh.</w:t>
      </w:r>
    </w:p>
    <w:p>
      <w:pPr>
        <w:jc w:val="both"/>
      </w:pPr>
      <w:r>
        <w:rPr>
          <w:rFonts w:ascii="Times New Roman" w:hAnsi="Times New Roman"/>
          <w:b w:val="0"/>
          <w:i w:val="0"/>
          <w:sz w:val="24"/>
        </w:rPr>
        <w:t>• Sau khi loại bỏ học sinh thiếu dữ liệu baseline, số phân tích cuối cùng: 531 can thiệp và 552 đối chứng (tổng 1.083). Chênh lệch một đơn vị so với 1.084 đăng ký do một học sinh không hoàn tất bộ đo baseline.</w:t>
      </w:r>
    </w:p>
    <w:p>
      <w:pPr>
        <w:jc w:val="both"/>
      </w:pPr>
      <w:r>
        <w:rPr>
          <w:rFonts w:ascii="Times New Roman" w:hAnsi="Times New Roman"/>
          <w:b w:val="0"/>
          <w:i w:val="0"/>
          <w:sz w:val="24"/>
        </w:rPr>
        <w:t>• Tuổi 15–16 (lớp 10); khoảng 60 % nữ; khoảng 50 % đô thị; khoảng 89 % sống cùng cha mẹ ruột.</w:t>
      </w:r>
    </w:p>
    <w:p>
      <w:pPr>
        <w:jc w:val="both"/>
      </w:pPr>
      <w:r>
        <w:rPr>
          <w:rFonts w:ascii="Times New Roman" w:hAnsi="Times New Roman"/>
          <w:b w:val="0"/>
          <w:i w:val="0"/>
          <w:sz w:val="24"/>
        </w:rPr>
        <w:t>• Điểm CESD-R trung bình ban đầu: 11,4 ± 12,2 (đối chứng) so với 12,0 ± 12,0 (can thiệp), p = 0,729 — cân bằng tốt, không có selection bias.</w:t>
      </w:r>
    </w:p>
    <w:p>
      <w:pPr>
        <w:jc w:val="both"/>
      </w:pPr>
      <w:r>
        <w:rPr>
          <w:rFonts w:ascii="Times New Roman" w:hAnsi="Times New Roman"/>
          <w:b w:val="0"/>
          <w:i w:val="0"/>
          <w:sz w:val="24"/>
        </w:rPr>
        <w:t>• Tỷ lệ trầm cảm lâm sàng ban đầu (CESD-R ≥ 16): 25,5 % ở cả hai nhóm — phản ánh gánh nặng trầm cảm đáng kể ở học sinh lớp 10 Hà Nội. Không so sánh trực tiếp với các con số lo âu của Hoa 2024 (GAD-7) vì hai nghiên cứu đo hai rối loạn khác nhau.</w:t>
      </w:r>
    </w:p>
    <w:p>
      <w:pPr>
        <w:jc w:val="both"/>
      </w:pPr>
      <w:r>
        <w:rPr>
          <w:rFonts w:ascii="Times New Roman" w:hAnsi="Times New Roman"/>
          <w:b/>
          <w:i w:val="0"/>
          <w:sz w:val="24"/>
        </w:rPr>
        <w:t>Mô hình can thiệp Happy House:</w:t>
      </w:r>
    </w:p>
    <w:p>
      <w:pPr>
        <w:jc w:val="both"/>
      </w:pPr>
      <w:r>
        <w:rPr>
          <w:rFonts w:ascii="Times New Roman" w:hAnsi="Times New Roman"/>
          <w:b w:val="0"/>
          <w:i w:val="0"/>
          <w:sz w:val="24"/>
        </w:rPr>
        <w:t>Chương trình RAP-A (Resourceful Adolescent Program, Shochet et al., Úc) được thích ứng văn hoá Việt Nam qua 4 giai đoạn: (1) dịch tiếng Việt với back-translation; (2) thích ứng văn hoá với chuyên gia tâm lý học đường Việt Nam; (3) thử nghiệm pilot với 30 học sinh Hà Nội; (4) sửa đổi dựa trên phản hồi học sinh và giáo viên. Cấu trúc: 11 buổi 45 phút của RAP gốc được rút xuống 6 buổi 90 phút, thực hiện trong 6 tuần liên tiếp, thay thế môn Giáo dục Công dân.</w:t>
      </w:r>
    </w:p>
    <w:p>
      <w:pPr>
        <w:jc w:val="both"/>
      </w:pPr>
      <w:r>
        <w:rPr>
          <w:rFonts w:ascii="Times New Roman" w:hAnsi="Times New Roman"/>
          <w:b w:val="0"/>
          <w:i w:val="0"/>
          <w:sz w:val="24"/>
        </w:rPr>
        <w:t>Sáu buổi Happy House:</w:t>
      </w:r>
    </w:p>
    <w:p>
      <w:pPr>
        <w:jc w:val="both"/>
      </w:pPr>
      <w:r>
        <w:rPr>
          <w:rFonts w:ascii="Times New Roman" w:hAnsi="Times New Roman"/>
          <w:b w:val="0"/>
          <w:i w:val="0"/>
          <w:sz w:val="24"/>
        </w:rPr>
        <w:t>• Buổi 1: Sức mạnh bản thân — nhận diện điểm mạnh, xây dựng tự trọng</w:t>
      </w:r>
    </w:p>
    <w:p>
      <w:pPr>
        <w:jc w:val="both"/>
      </w:pPr>
      <w:r>
        <w:rPr>
          <w:rFonts w:ascii="Times New Roman" w:hAnsi="Times New Roman"/>
          <w:b w:val="0"/>
          <w:i w:val="0"/>
          <w:sz w:val="24"/>
        </w:rPr>
        <w:t>• Buổi 2: Suy nghĩ tích cực — tái cấu trúc nhận thức (CBT)</w:t>
      </w:r>
    </w:p>
    <w:p>
      <w:pPr>
        <w:jc w:val="both"/>
      </w:pPr>
      <w:r>
        <w:rPr>
          <w:rFonts w:ascii="Times New Roman" w:hAnsi="Times New Roman"/>
          <w:b w:val="0"/>
          <w:i w:val="0"/>
          <w:sz w:val="24"/>
        </w:rPr>
        <w:t>• Buổi 3: Quản lý cảm xúc — kỹ thuật thư giãn, điều tiết</w:t>
      </w:r>
    </w:p>
    <w:p>
      <w:pPr>
        <w:jc w:val="both"/>
      </w:pPr>
      <w:r>
        <w:rPr>
          <w:rFonts w:ascii="Times New Roman" w:hAnsi="Times New Roman"/>
          <w:b w:val="0"/>
          <w:i w:val="0"/>
          <w:sz w:val="24"/>
        </w:rPr>
        <w:t>• Buổi 4: Giải quyết vấn đề — các bước có cấu trúc</w:t>
      </w:r>
    </w:p>
    <w:p>
      <w:pPr>
        <w:jc w:val="both"/>
      </w:pPr>
      <w:r>
        <w:rPr>
          <w:rFonts w:ascii="Times New Roman" w:hAnsi="Times New Roman"/>
          <w:b w:val="0"/>
          <w:i w:val="0"/>
          <w:sz w:val="24"/>
        </w:rPr>
        <w:t>• Buổi 5: Mạng lưới hỗ trợ — xây dựng quan hệ (IPT)</w:t>
      </w:r>
    </w:p>
    <w:p>
      <w:pPr>
        <w:jc w:val="both"/>
      </w:pPr>
      <w:r>
        <w:rPr>
          <w:rFonts w:ascii="Times New Roman" w:hAnsi="Times New Roman"/>
          <w:b w:val="0"/>
          <w:i w:val="0"/>
          <w:sz w:val="24"/>
        </w:rPr>
        <w:t>• Buổi 6: Ôn tập và cam kết</w:t>
      </w:r>
    </w:p>
    <w:p>
      <w:pPr>
        <w:jc w:val="both"/>
      </w:pPr>
      <w:r>
        <w:rPr>
          <w:rFonts w:ascii="Times New Roman" w:hAnsi="Times New Roman"/>
          <w:b w:val="0"/>
          <w:i w:val="0"/>
          <w:sz w:val="24"/>
        </w:rPr>
        <w:t>Người cung cấp: Giáo viên Giáo dục Công dân (có nền tảng tâm lý cơ bản) được đào tạo 3 ngày bởi nhóm Monash và HUPH. Mỗi buổi có 1 giáo viên chính và 1–2 trợ giảng để hỗ trợ lớp đông 40–45 học sinh. Thích ứng này khác với RAP gốc Úc (16 học sinh/lớp) để phù hợp với class size Việt Nam.</w:t>
      </w:r>
    </w:p>
    <w:p>
      <w:pPr>
        <w:jc w:val="both"/>
      </w:pPr>
      <w:r>
        <w:rPr>
          <w:rFonts w:ascii="Times New Roman" w:hAnsi="Times New Roman"/>
          <w:b/>
          <w:i w:val="0"/>
          <w:sz w:val="24"/>
        </w:rPr>
        <w:t>Kết quả chính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814"/>
        <w:gridCol w:w="963"/>
      </w:tblGrid>
      <w:tr>
        <w:tc>
          <w:tcPr>
            <w:tcW w:w="1134" w:type="dxa"/>
            <w:shd w:fill="D9E2F3" w:val="clear"/>
          </w:tcPr>
          <w:p>
            <w:pPr>
              <w:jc w:val="center"/>
            </w:pPr>
            <w:r>
              <w:rPr>
                <w:rFonts w:ascii="Times New Roman" w:hAnsi="Times New Roman"/>
                <w:b/>
                <w:sz w:val="20"/>
              </w:rPr>
              <w:t>Thời điểm</w:t>
            </w:r>
          </w:p>
        </w:tc>
        <w:tc>
          <w:tcPr>
            <w:tcW w:w="1701" w:type="dxa"/>
            <w:shd w:fill="D9E2F3" w:val="clear"/>
          </w:tcPr>
          <w:p>
            <w:pPr>
              <w:jc w:val="center"/>
            </w:pPr>
            <w:r>
              <w:rPr>
                <w:rFonts w:ascii="Times New Roman" w:hAnsi="Times New Roman"/>
                <w:b/>
                <w:sz w:val="20"/>
              </w:rPr>
              <w:t>Kết cục</w:t>
            </w:r>
          </w:p>
        </w:tc>
        <w:tc>
          <w:tcPr>
            <w:tcW w:w="1587" w:type="dxa"/>
            <w:shd w:fill="D9E2F3" w:val="clear"/>
          </w:tcPr>
          <w:p>
            <w:pPr>
              <w:jc w:val="center"/>
            </w:pPr>
            <w:r>
              <w:rPr>
                <w:rFonts w:ascii="Times New Roman" w:hAnsi="Times New Roman"/>
                <w:b/>
                <w:sz w:val="20"/>
              </w:rPr>
              <w:t>Đối chứng (%)</w:t>
            </w:r>
          </w:p>
        </w:tc>
        <w:tc>
          <w:tcPr>
            <w:tcW w:w="1587" w:type="dxa"/>
            <w:shd w:fill="D9E2F3" w:val="clear"/>
          </w:tcPr>
          <w:p>
            <w:pPr>
              <w:jc w:val="center"/>
            </w:pPr>
            <w:r>
              <w:rPr>
                <w:rFonts w:ascii="Times New Roman" w:hAnsi="Times New Roman"/>
                <w:b/>
                <w:sz w:val="20"/>
              </w:rPr>
              <w:t>Can thiệp (%)</w:t>
            </w:r>
          </w:p>
        </w:tc>
        <w:tc>
          <w:tcPr>
            <w:tcW w:w="1814" w:type="dxa"/>
            <w:shd w:fill="D9E2F3" w:val="clear"/>
          </w:tcPr>
          <w:p>
            <w:pPr>
              <w:jc w:val="center"/>
            </w:pPr>
            <w:r>
              <w:rPr>
                <w:rFonts w:ascii="Times New Roman" w:hAnsi="Times New Roman"/>
                <w:b/>
                <w:sz w:val="20"/>
              </w:rPr>
              <w:t>aOR (KTC 95 %)</w:t>
            </w:r>
          </w:p>
        </w:tc>
        <w:tc>
          <w:tcPr>
            <w:tcW w:w="963" w:type="dxa"/>
            <w:shd w:fill="D9E2F3" w:val="clear"/>
          </w:tcPr>
          <w:p>
            <w:pPr>
              <w:jc w:val="center"/>
            </w:pPr>
            <w:r>
              <w:rPr>
                <w:rFonts w:ascii="Times New Roman" w:hAnsi="Times New Roman"/>
                <w:b/>
                <w:sz w:val="20"/>
              </w:rPr>
              <w:t>p</w:t>
            </w:r>
          </w:p>
        </w:tc>
      </w:tr>
      <w:tr>
        <w:tc>
          <w:tcPr>
            <w:tcW w:w="1134" w:type="dxa"/>
          </w:tcPr>
          <w:p>
            <w:r>
              <w:rPr>
                <w:rFonts w:ascii="Times New Roman" w:hAnsi="Times New Roman"/>
                <w:sz w:val="20"/>
              </w:rPr>
              <w:t>2 tuần</w:t>
            </w:r>
          </w:p>
        </w:tc>
        <w:tc>
          <w:tcPr>
            <w:tcW w:w="1701" w:type="dxa"/>
          </w:tcPr>
          <w:p>
            <w:r>
              <w:rPr>
                <w:rFonts w:ascii="Times New Roman" w:hAnsi="Times New Roman"/>
                <w:sz w:val="20"/>
              </w:rPr>
              <w:t>CESD-R ≥ 16</w:t>
            </w:r>
          </w:p>
        </w:tc>
        <w:tc>
          <w:tcPr>
            <w:tcW w:w="1587" w:type="dxa"/>
          </w:tcPr>
          <w:p>
            <w:r>
              <w:rPr>
                <w:rFonts w:ascii="Times New Roman" w:hAnsi="Times New Roman"/>
                <w:sz w:val="20"/>
              </w:rPr>
              <w:t>28,6 % (155/542)</w:t>
            </w:r>
          </w:p>
        </w:tc>
        <w:tc>
          <w:tcPr>
            <w:tcW w:w="1587" w:type="dxa"/>
          </w:tcPr>
          <w:p>
            <w:r>
              <w:rPr>
                <w:rFonts w:ascii="Times New Roman" w:hAnsi="Times New Roman"/>
                <w:sz w:val="20"/>
              </w:rPr>
              <w:t>23,9 % (125/523)</w:t>
            </w:r>
          </w:p>
        </w:tc>
        <w:tc>
          <w:tcPr>
            <w:tcW w:w="1814" w:type="dxa"/>
          </w:tcPr>
          <w:p>
            <w:r>
              <w:rPr>
                <w:rFonts w:ascii="Times New Roman" w:hAnsi="Times New Roman"/>
                <w:sz w:val="20"/>
              </w:rPr>
              <w:t>0,56 (0,36–0,88)</w:t>
            </w:r>
          </w:p>
        </w:tc>
        <w:tc>
          <w:tcPr>
            <w:tcW w:w="963" w:type="dxa"/>
          </w:tcPr>
          <w:p>
            <w:r>
              <w:rPr>
                <w:rFonts w:ascii="Times New Roman" w:hAnsi="Times New Roman"/>
                <w:sz w:val="20"/>
              </w:rPr>
              <w:t>0,011</w:t>
            </w:r>
          </w:p>
        </w:tc>
      </w:tr>
      <w:tr>
        <w:tc>
          <w:tcPr>
            <w:tcW w:w="1134" w:type="dxa"/>
          </w:tcPr>
          <w:p>
            <w:r>
              <w:rPr>
                <w:rFonts w:ascii="Times New Roman" w:hAnsi="Times New Roman"/>
                <w:sz w:val="20"/>
              </w:rPr>
              <w:t>6 tháng</w:t>
            </w:r>
          </w:p>
        </w:tc>
        <w:tc>
          <w:tcPr>
            <w:tcW w:w="1701" w:type="dxa"/>
          </w:tcPr>
          <w:p>
            <w:r>
              <w:rPr>
                <w:rFonts w:ascii="Times New Roman" w:hAnsi="Times New Roman"/>
                <w:sz w:val="20"/>
              </w:rPr>
              <w:t>CESD-R ≥ 16</w:t>
            </w:r>
          </w:p>
        </w:tc>
        <w:tc>
          <w:tcPr>
            <w:tcW w:w="1587" w:type="dxa"/>
          </w:tcPr>
          <w:p>
            <w:r>
              <w:rPr>
                <w:rFonts w:ascii="Times New Roman" w:hAnsi="Times New Roman"/>
                <w:sz w:val="20"/>
              </w:rPr>
              <w:t>29,2 % (157/537)</w:t>
            </w:r>
          </w:p>
        </w:tc>
        <w:tc>
          <w:tcPr>
            <w:tcW w:w="1587" w:type="dxa"/>
          </w:tcPr>
          <w:p>
            <w:r>
              <w:rPr>
                <w:rFonts w:ascii="Times New Roman" w:hAnsi="Times New Roman"/>
                <w:sz w:val="20"/>
              </w:rPr>
              <w:t>26,3 % (138/524)</w:t>
            </w:r>
          </w:p>
        </w:tc>
        <w:tc>
          <w:tcPr>
            <w:tcW w:w="1814" w:type="dxa"/>
          </w:tcPr>
          <w:p>
            <w:r>
              <w:rPr>
                <w:rFonts w:ascii="Times New Roman" w:hAnsi="Times New Roman"/>
                <w:sz w:val="20"/>
              </w:rPr>
              <w:t>0,75 (0,51–1,09)</w:t>
            </w:r>
          </w:p>
        </w:tc>
        <w:tc>
          <w:tcPr>
            <w:tcW w:w="963" w:type="dxa"/>
          </w:tcPr>
          <w:p>
            <w:r>
              <w:rPr>
                <w:rFonts w:ascii="Times New Roman" w:hAnsi="Times New Roman"/>
                <w:sz w:val="20"/>
              </w:rPr>
              <w:t>0,132</w:t>
            </w:r>
          </w:p>
        </w:tc>
      </w:tr>
    </w:tbl>
    <w:p>
      <w:pPr>
        <w:jc w:val="both"/>
      </w:pPr>
      <w:r>
        <w:rPr>
          <w:rFonts w:ascii="Times New Roman" w:hAnsi="Times New Roman"/>
          <w:b w:val="0"/>
          <w:i w:val="0"/>
          <w:sz w:val="24"/>
        </w:rPr>
        <w:t>Cohen d = 0,11 cho trầm cảm ở thời điểm 2 tuần — hiệu ứng nhỏ nhưng có ý nghĩa thống kê. Để so sánh: meta-analysis các chương trình phòng ngừa phổ quát toàn cầu có median Cohen d khoảng 0,18 cho trầm cảm (Stockings et al. 2016). Happy House nằm dưới median nhưng vẫn trong khoảng biến thiên bình thường của các can thiệp phổ quát.</w:t>
      </w:r>
    </w:p>
    <w:p>
      <w:pPr>
        <w:jc w:val="both"/>
      </w:pPr>
      <w:r>
        <w:rPr>
          <w:rFonts w:ascii="Times New Roman" w:hAnsi="Times New Roman"/>
          <w:b w:val="0"/>
          <w:i w:val="0"/>
          <w:sz w:val="24"/>
        </w:rPr>
        <w:t>Hiện tượng fade-out ở 6 tháng là vấn đề đáng lo ngại. Các trial RAP ở Úc và New Zealand cho thấy hiệu quả thường duy trì 10–18 tháng mà không fade out rõ rệt. Tác giả Happy House đưa ra hai giải thích tiềm tàng: (a) COVID-19 lockdown tại Việt Nam trong thời gian theo dõi (từ 12/2020 đến 5/2021) phá vỡ hỗ trợ xã hội và tăng stress phổ quát, có thể che mờ hiệu quả can thiệp; (b) 6 buổi được rút gọn từ 11 buổi RAP gốc có thể là "liều chưa đủ".</w:t>
      </w:r>
    </w:p>
    <w:p>
      <w:pPr>
        <w:jc w:val="both"/>
      </w:pPr>
      <w:r>
        <w:rPr>
          <w:rFonts w:ascii="Times New Roman" w:hAnsi="Times New Roman"/>
          <w:b w:val="0"/>
          <w:i w:val="0"/>
          <w:sz w:val="24"/>
        </w:rPr>
        <w:t>Từ các giải thích trên, nhóm tác giả báo cáo này đề xuất: cần thiết kế booster sessions ở mốc 3, 6 và 12 tháng để duy trì hiệu quả can thiệp trong các RCT Việt Nam tương lai.</w:t>
      </w:r>
    </w:p>
    <w:p>
      <w:pPr>
        <w:jc w:val="both"/>
      </w:pPr>
      <w:r>
        <w:rPr>
          <w:rFonts w:ascii="Times New Roman" w:hAnsi="Times New Roman"/>
          <w:b w:val="0"/>
          <w:i w:val="0"/>
          <w:sz w:val="24"/>
        </w:rPr>
        <w:t>Phát hiện tích cực quan trọng: thang Coping Self-Efficacy Scale (CSES) ở hai tiểu thang "giải quyết vấn đề" và "tìm kiếm hỗ trợ xã hội" duy trì ý nghĩa thống kê ở cả 2 tuần và 6 tháng (d = 0,17–0,26). Nghĩa là kỹ năng ứng phó được học trong 6 buổi giữ lại lâu dài, dù triệu chứng trầm cảm quay lại. Đây là cơ chế quan trọng: Happy House không phải "chữa trầm cảm" trực tiếp, mà là "dạy kỹ năng" — và kỹ năng bền hơn triệu chứng.</w:t>
      </w:r>
    </w:p>
    <w:p>
      <w:pPr>
        <w:jc w:val="both"/>
      </w:pPr>
      <w:r>
        <w:rPr>
          <w:rFonts w:ascii="Times New Roman" w:hAnsi="Times New Roman"/>
          <w:b/>
          <w:i w:val="0"/>
          <w:sz w:val="24"/>
        </w:rPr>
        <w:t>Điểm mạnh:</w:t>
      </w:r>
    </w:p>
    <w:p>
      <w:pPr>
        <w:jc w:val="both"/>
      </w:pPr>
      <w:r>
        <w:rPr>
          <w:rFonts w:ascii="Times New Roman" w:hAnsi="Times New Roman"/>
          <w:b w:val="0"/>
          <w:i w:val="0"/>
          <w:sz w:val="24"/>
        </w:rPr>
        <w:t>Cluster controlled trial đầu tiên tại Việt Nam về can thiệp sức khoẻ tâm thần trường học cho vị thành niên. Cỡ mẫu rất lớn (n = 1.084), tỷ lệ tham gia 96,1 %, mất mẫu dưới 3 %. RAP-A có cơ sở bằng chứng quốc tế mạnh từ Úc, New Zealand, Mauritius. Mô hình hợp tác Việt–Úc (Monash–QUT–HUPH) uy tín. Giáo viên cung cấp — phù hợp bối cảnh quốc gia thu nhập trung bình. Đăng ký thử nghiệm trước và tài trợ quốc tế.</w:t>
      </w:r>
    </w:p>
    <w:p>
      <w:pPr>
        <w:jc w:val="both"/>
      </w:pPr>
      <w:r>
        <w:rPr>
          <w:rFonts w:ascii="Times New Roman" w:hAnsi="Times New Roman"/>
          <w:b/>
          <w:i w:val="0"/>
          <w:sz w:val="24"/>
        </w:rPr>
        <w:t>Hạn chế:</w:t>
      </w:r>
    </w:p>
    <w:p>
      <w:pPr>
        <w:jc w:val="both"/>
      </w:pPr>
      <w:r>
        <w:rPr>
          <w:rFonts w:ascii="Times New Roman" w:hAnsi="Times New Roman"/>
          <w:b w:val="0"/>
          <w:i w:val="0"/>
          <w:sz w:val="24"/>
        </w:rPr>
        <w:t>(1) Can thiệp phổ quát (universal), không phải chọn lọc (targeted) — hiệu ứng nhỏ d = 0,11. (2) Fade-out ở 6 tháng. (3) Đo trầm cảm là chính, không đo lo âu riêng. (4) Chỉ lớp 10 tại Hà Nội — chưa đại diện toàn Việt Nam. (5) Phân bổ nhóm không ngẫu nhiên (có thể có bias giữa trường can thiệp và đối chứng). (6) Không có active control. (7) COVID-19 confounding trong thời gian theo dõi.</w:t>
      </w:r>
    </w:p>
    <w:p>
      <w:pPr>
        <w:pStyle w:val="Heading2"/>
      </w:pPr>
      <w:r>
        <w:rPr>
          <w:rFonts w:ascii="Times New Roman" w:hAnsi="Times New Roman"/>
          <w:color w:val="000000"/>
        </w:rPr>
        <w:t>V.5. Khuyến nghị cho đề cương can thiệp lo âu vị thành niên Việt Nam 2026–2028</w:t>
      </w:r>
    </w:p>
    <w:p>
      <w:pPr>
        <w:jc w:val="both"/>
      </w:pPr>
      <w:r>
        <w:rPr>
          <w:rFonts w:ascii="Times New Roman" w:hAnsi="Times New Roman"/>
          <w:b w:val="0"/>
          <w:i w:val="0"/>
          <w:sz w:val="24"/>
        </w:rPr>
        <w:t>Dựa trên 5 phát hiện liên bài và dữ liệu đầy đủ về Happy House, nhóm tác giả đề xuất các ưu tiên sau cho giai đoạn 2026–2028:</w:t>
      </w:r>
    </w:p>
    <w:p>
      <w:pPr>
        <w:jc w:val="both"/>
      </w:pPr>
      <w:r>
        <w:rPr>
          <w:rFonts w:ascii="Times New Roman" w:hAnsi="Times New Roman"/>
          <w:b/>
          <w:i w:val="0"/>
          <w:sz w:val="24"/>
        </w:rPr>
        <w:t>Ưu tiên 1 — Thiết kế RCT chuyên biệt cho LO ÂU tại Việt Nam.</w:t>
      </w:r>
    </w:p>
    <w:p>
      <w:pPr>
        <w:jc w:val="both"/>
      </w:pPr>
      <w:r>
        <w:rPr>
          <w:rFonts w:ascii="Times New Roman" w:hAnsi="Times New Roman"/>
          <w:b w:val="0"/>
          <w:i w:val="0"/>
          <w:sz w:val="24"/>
        </w:rPr>
        <w:t>Happy House là RCT đầu tiên nhưng đo trầm cảm là chính. Việt Nam hiện chưa có RCT chuyên biệt đo lo âu (GAD-7, DASS-Y lo âu, SIAS-17) như kết cục chính. Cần thiết kế RCT chọn lọc (targeted) với tiêu chí tuyển chọn GAD-7 ≥ 8 hoặc DASS-Y lo âu ≥ 8, cỡ mẫu tối thiểu 300 mỗi nhánh, theo dõi 3-6-12 tháng với booster sessions.</w:t>
      </w:r>
    </w:p>
    <w:p>
      <w:pPr>
        <w:jc w:val="both"/>
      </w:pPr>
      <w:r>
        <w:rPr>
          <w:rFonts w:ascii="Times New Roman" w:hAnsi="Times New Roman"/>
          <w:b/>
          <w:i w:val="0"/>
          <w:sz w:val="24"/>
        </w:rPr>
        <w:t>Ưu tiên 2 — Can thiệp tích hợp đa thành phần, không đơn lẻ.</w:t>
      </w:r>
    </w:p>
    <w:p>
      <w:pPr>
        <w:jc w:val="both"/>
      </w:pPr>
      <w:r>
        <w:rPr>
          <w:rFonts w:ascii="Times New Roman" w:hAnsi="Times New Roman"/>
          <w:b w:val="0"/>
          <w:i w:val="0"/>
          <w:sz w:val="24"/>
        </w:rPr>
        <w:t>Dựa trên phát hiện 91,6 % học sinh có đa hành vi nguy cơ, chương trình cần tích hợp bốn module: (a) tâm lý (CBT-based 6–10 buổi), (b) giấc ngủ (sleep hygiene 2 buổi), (c) vận động thể chất (PE 2 buổi + thay đổi môi trường), (d) kỹ năng giao tiếp gia đình (4 buổi phụ huynh). Tổng 14–18 buổi cho học sinh + 4 buổi cho phụ huynh.</w:t>
      </w:r>
    </w:p>
    <w:p>
      <w:pPr>
        <w:jc w:val="both"/>
      </w:pPr>
      <w:r>
        <w:rPr>
          <w:rFonts w:ascii="Times New Roman" w:hAnsi="Times New Roman"/>
          <w:b/>
          <w:i w:val="0"/>
          <w:sz w:val="24"/>
        </w:rPr>
        <w:t>Ưu tiên 3 — Áp lực học tập là mục tiêu trung tâm, không phụ trợ.</w:t>
      </w:r>
    </w:p>
    <w:p>
      <w:pPr>
        <w:jc w:val="both"/>
      </w:pPr>
      <w:r>
        <w:rPr>
          <w:rFonts w:ascii="Times New Roman" w:hAnsi="Times New Roman"/>
          <w:b w:val="0"/>
          <w:i w:val="0"/>
          <w:sz w:val="24"/>
        </w:rPr>
        <w:t>OR ≈ 11 xuyên 4 nghiên cứu độc lập là bằng chứng mạnh. Cần (a) dùng ESSA phiên bản Việt Nam cho mọi đo lường; (b) tích hợp kỹ năng quản lý thời gian, tư vấn hướng nghiệp sớm; (c) phối hợp chính sách với Bộ GD&amp;ĐT về giảm tải, bỏ xếp hạng công khai.</w:t>
      </w:r>
    </w:p>
    <w:p>
      <w:pPr>
        <w:jc w:val="both"/>
      </w:pPr>
      <w:r>
        <w:rPr>
          <w:rFonts w:ascii="Times New Roman" w:hAnsi="Times New Roman"/>
          <w:b/>
          <w:i w:val="0"/>
          <w:sz w:val="24"/>
        </w:rPr>
        <w:t>Ưu tiên 4 — Nhóm rủi ro đặc biệt: học sinh chuyên và sinh viên ngành đòi hỏi cao.</w:t>
      </w:r>
    </w:p>
    <w:p>
      <w:pPr>
        <w:jc w:val="both"/>
      </w:pPr>
      <w:r>
        <w:rPr>
          <w:rFonts w:ascii="Times New Roman" w:hAnsi="Times New Roman"/>
          <w:b w:val="0"/>
          <w:i w:val="0"/>
          <w:sz w:val="24"/>
        </w:rPr>
        <w:t>Cần chương trình riêng cho nhóm này dựa trên phát hiện OR = 4,97 của Đào Thị Ngoãn 2025 và tỷ lệ 67,5 % có biểu hiện "thất vọng về bản thân, cảm thấy vô dụng, bất lực" TRONG NHÓM 77 HỌC SINH ĐÃ CÓ RLLA của Trần Thị Mỵ Lương 2020 (540 HS chuyên, sàng lọc bằng DASS-42). Nội dung chương trình: psychoeducation về cầu toàn lành mạnh vs không lành mạnh, sàng lọc định kỳ bằng công cụ phù hợp (GAD-7 hoặc DASS-21), tư vấn chuyên biệt.</w:t>
      </w:r>
    </w:p>
    <w:p>
      <w:pPr>
        <w:jc w:val="both"/>
      </w:pPr>
      <w:r>
        <w:rPr>
          <w:rFonts w:ascii="Times New Roman" w:hAnsi="Times New Roman"/>
          <w:b/>
          <w:i w:val="0"/>
          <w:sz w:val="24"/>
        </w:rPr>
        <w:t>Ưu tiên 5 — Mở rộng địa lý.</w:t>
      </w:r>
    </w:p>
    <w:p>
      <w:pPr>
        <w:jc w:val="both"/>
      </w:pPr>
      <w:r>
        <w:rPr>
          <w:rFonts w:ascii="Times New Roman" w:hAnsi="Times New Roman"/>
          <w:b w:val="0"/>
          <w:i w:val="0"/>
          <w:sz w:val="24"/>
        </w:rPr>
        <w:t>Các nghiên cứu Việt Nam hiện tập trung ở Hà Nội, TPHCM, Huế và một số tỉnh lẻ. Khoảng trống rõ ở Tây Nguyên, miền núi phía Bắc và miền Trung. Đề xuất RCT đa trung tâm với ít nhất một điểm ở mỗi vùng.</w:t>
      </w:r>
    </w:p>
    <w:p>
      <w:pPr>
        <w:jc w:val="both"/>
      </w:pPr>
      <w:r>
        <w:rPr>
          <w:rFonts w:ascii="Times New Roman" w:hAnsi="Times New Roman"/>
          <w:b/>
          <w:i w:val="0"/>
          <w:sz w:val="24"/>
        </w:rPr>
        <w:t>Ưu tiên 6 — Phối hợp trường–gia đình.</w:t>
      </w:r>
    </w:p>
    <w:p>
      <w:pPr>
        <w:jc w:val="both"/>
      </w:pPr>
      <w:r>
        <w:rPr>
          <w:rFonts w:ascii="Times New Roman" w:hAnsi="Times New Roman"/>
          <w:b w:val="0"/>
          <w:i w:val="0"/>
          <w:sz w:val="24"/>
        </w:rPr>
        <w:t>Phát hiện OR = 0,22 của Dong 2025 về kênh giao tiếp gia đình là yếu tố bảo vệ mạnh nhất. Đề xuất workshop cha mẹ mỗi học kỳ, nội dung: cách lắng nghe không phán xét, hỏi về cảm xúc thay vì chỉ hỏi về điểm số, phát hiện dấu hiệu lo âu sớm.</w:t>
      </w:r>
    </w:p>
    <w:p>
      <w:pPr>
        <w:jc w:val="both"/>
      </w:pPr>
      <w:r>
        <w:rPr>
          <w:rFonts w:ascii="Times New Roman" w:hAnsi="Times New Roman"/>
          <w:b/>
          <w:i w:val="0"/>
          <w:sz w:val="24"/>
        </w:rPr>
        <w:t>Ưu tiên 7 — Bổ sung bằng chứng về vận động thể chất và VR therapy.</w:t>
      </w:r>
    </w:p>
    <w:p>
      <w:pPr>
        <w:jc w:val="both"/>
      </w:pPr>
      <w:r>
        <w:rPr>
          <w:rFonts w:ascii="Times New Roman" w:hAnsi="Times New Roman"/>
          <w:b w:val="0"/>
          <w:i w:val="0"/>
          <w:sz w:val="24"/>
        </w:rPr>
        <w:t>Hai khoảng trống chính trong tổng hợp 68 bài. Umbrella review JAACAP 2025 cho thấy vận động thể chất có SMD = −0,39 cho lo âu và VR therapy có tiềm năng cho SAD — cần bổ sung các nghiên cứu này và cân nhắc pilot tại Việt Nam.</w:t>
      </w:r>
    </w:p>
    <w:p>
      <w:pPr>
        <w:jc w:val="both"/>
      </w:pPr>
      <w:r>
        <w:rPr>
          <w:rFonts w:ascii="Times New Roman" w:hAnsi="Times New Roman"/>
          <w:b/>
          <w:i w:val="0"/>
          <w:sz w:val="24"/>
        </w:rPr>
        <w:t>Kết luận:</w:t>
      </w:r>
    </w:p>
    <w:p>
      <w:pPr>
        <w:jc w:val="both"/>
      </w:pPr>
      <w:r>
        <w:rPr>
          <w:rFonts w:ascii="Times New Roman" w:hAnsi="Times New Roman"/>
          <w:b w:val="0"/>
          <w:i w:val="0"/>
          <w:sz w:val="24"/>
        </w:rPr>
        <w:t>Với 68 bài nghiên cứu được tổng hợp có hệ thống, 5 phát hiện liên bài mới, và dữ liệu đầy đủ từ Happy House — RCT đầu tiên tại Việt Nam — nền tảng bằng chứng đã đủ để thiết kế đề cương RCT can thiệp lo âu vị thành niên Việt Nam giai đoạn 2026–2028. Các ưu tiên đề xuất trong phần này hướng đến mục tiêu chuyển từ can thiệp phổ quát (universal) có hiệu ứng nhỏ sang can thiệp chọn lọc (targeted) có hiệu ứng lớn hơn, tích hợp đa thành phần và mở rộng địa bàn nghiên cứu trên toàn quốc.</w:t>
      </w:r>
    </w:p>
    <w:p>
      <w:pPr>
        <w:jc w:val="center"/>
      </w:pPr>
      <w:r>
        <w:rPr>
          <w:rFonts w:ascii="Times New Roman" w:hAnsi="Times New Roman"/>
          <w:b w:val="0"/>
          <w:i/>
          <w:sz w:val="24"/>
        </w:rPr>
        <w:t>---</w:t>
      </w:r>
    </w:p>
    <w:p>
      <w:pPr>
        <w:jc w:val="center"/>
      </w:pPr>
      <w:r>
        <w:rPr>
          <w:rFonts w:ascii="Times New Roman" w:hAnsi="Times New Roman"/>
          <w:b w:val="0"/>
          <w:i/>
          <w:sz w:val="20"/>
        </w:rPr>
        <w:t>Báo cáo v5 — 12/04/2026 — tổng hợp 68 bài nghiên cứu về lo âu/trầm cảm vị thành niên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