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về 2 yếu tố trong nghiên cứu Hoàng Trung Học và cộng sự (2025)</w:t>
      </w:r>
    </w:p>
    <w:p>
      <w:r>
        <w:rPr>
          <w:b/>
          <w:color w:val="1F497D"/>
          <w:sz w:val="28"/>
        </w:rPr>
        <w:t>— Mối quan hệ cha mẹ-con &amp; Sử dụng thiết bị điện tử —</w:t>
      </w:r>
    </w:p>
    <w:p>
      <w:r>
        <w:rPr>
          <w:b/>
          <w:color w:val="1F497D"/>
          <w:sz w:val="28"/>
        </w:rPr>
        <w:t>Câu hỏi của thầy</w:t>
      </w:r>
    </w:p>
    <w:p>
      <w:r>
        <w:rPr>
          <w:b w:val="0"/>
          <w:color w:val="0070C0"/>
          <w:sz w:val="24"/>
        </w:rPr>
        <w:t>Em cho thầy bình luận về H.T. Học và cs. (2025) với 2 yếu tố "mối quan hệ cha mẹ–con" và "sử dụng thiết bị điện tử" trong nghiên cứu về Mức độ căng thẳng, lo âu và trầm cảm ở thanh thiếu niên trong và sau đại dịch COVID-19 tại Việt Nam.</w:t>
      </w:r>
    </w:p>
    <w:p>
      <w:r>
        <w:rPr>
          <w:b/>
          <w:color w:val="1F497D"/>
          <w:sz w:val="28"/>
        </w:rPr>
        <w:t>1. Bối cảnh nghiên cứu VN014</w:t>
      </w:r>
    </w:p>
    <w:p>
      <w:r>
        <w:rPr>
          <w:b w:val="0"/>
          <w:i w:val="0"/>
          <w:color w:val="000000"/>
          <w:sz w:val="24"/>
        </w:rPr>
        <w:t>Nghiên cứu của Hoàng Trung Học và cộng sự (2025) — VN014 trong cơ sở dữ liệu dự án — là nghiên cứu cắt ngang tại hai thời điểm trên 8.389 thanh thiếu niên Việt Nam (Đợt 1 = 4.052 trong COVID 12/2021; Đợt 2 = 4.337 sau COVID 9/2023) tại 6 tỉnh. Công cụ chính là DASS-21 phiên bản tiếng Việt + bảng hỏi bổ sung về giấc ngủ, sử dụng thiết bị điện tử, hoạt động thể chất, và quan hệ gia đình. Hồi quy đa biến với R² = 0,190 (trong COVID).</w:t>
      </w:r>
    </w:p>
    <w:p>
      <w:r>
        <w:rPr>
          <w:b/>
          <w:i w:val="0"/>
          <w:color w:val="000000"/>
          <w:sz w:val="24"/>
        </w:rPr>
        <w:t>Bốn yếu tố ảnh hưởng được xác định và xếp hạng theo |β|:</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2"/>
              </w:rPr>
              <w:t>Thứ</w:t>
            </w:r>
          </w:p>
        </w:tc>
        <w:tc>
          <w:tcPr>
            <w:tcW w:type="dxa" w:w="1938"/>
          </w:tcPr>
          <w:p>
            <w:r>
              <w:rPr>
                <w:rFonts w:ascii="Times New Roman" w:hAnsi="Times New Roman"/>
                <w:sz w:val="22"/>
              </w:rPr>
              <w:t>Yếu tố</w:t>
            </w:r>
          </w:p>
        </w:tc>
        <w:tc>
          <w:tcPr>
            <w:tcW w:type="dxa" w:w="1938"/>
          </w:tcPr>
          <w:p>
            <w:r>
              <w:rPr>
                <w:rFonts w:ascii="Times New Roman" w:hAnsi="Times New Roman"/>
                <w:sz w:val="22"/>
              </w:rPr>
              <w:t>Beta</w:t>
            </w:r>
          </w:p>
        </w:tc>
        <w:tc>
          <w:tcPr>
            <w:tcW w:type="dxa" w:w="1938"/>
          </w:tcPr>
          <w:p>
            <w:r>
              <w:rPr>
                <w:rFonts w:ascii="Times New Roman" w:hAnsi="Times New Roman"/>
                <w:sz w:val="22"/>
              </w:rPr>
              <w:t>Loại</w:t>
            </w:r>
          </w:p>
        </w:tc>
        <w:tc>
          <w:tcPr>
            <w:tcW w:type="dxa" w:w="1938"/>
          </w:tcPr>
          <w:p>
            <w:r>
              <w:rPr>
                <w:rFonts w:ascii="Times New Roman" w:hAnsi="Times New Roman"/>
                <w:sz w:val="22"/>
              </w:rPr>
              <w:t>Ý nghĩa</w:t>
            </w:r>
          </w:p>
        </w:tc>
      </w:tr>
      <w:tr>
        <w:tc>
          <w:tcPr>
            <w:tcW w:type="dxa" w:w="1938"/>
          </w:tcPr>
          <w:p>
            <w:r>
              <w:rPr>
                <w:rFonts w:ascii="Times New Roman" w:hAnsi="Times New Roman"/>
                <w:sz w:val="22"/>
              </w:rPr>
              <w:t>1</w:t>
            </w:r>
          </w:p>
        </w:tc>
        <w:tc>
          <w:tcPr>
            <w:tcW w:type="dxa" w:w="1938"/>
          </w:tcPr>
          <w:p>
            <w:r>
              <w:rPr>
                <w:rFonts w:ascii="Times New Roman" w:hAnsi="Times New Roman"/>
                <w:sz w:val="22"/>
              </w:rPr>
              <w:t>Mối quan hệ cha mẹ–con</w:t>
            </w:r>
          </w:p>
        </w:tc>
        <w:tc>
          <w:tcPr>
            <w:tcW w:type="dxa" w:w="1938"/>
          </w:tcPr>
          <w:p>
            <w:r>
              <w:rPr>
                <w:rFonts w:ascii="Times New Roman" w:hAnsi="Times New Roman"/>
                <w:sz w:val="22"/>
              </w:rPr>
              <w:t>0,272</w:t>
            </w:r>
          </w:p>
        </w:tc>
        <w:tc>
          <w:tcPr>
            <w:tcW w:type="dxa" w:w="1938"/>
          </w:tcPr>
          <w:p>
            <w:r>
              <w:rPr>
                <w:rFonts w:ascii="Times New Roman" w:hAnsi="Times New Roman"/>
                <w:sz w:val="22"/>
              </w:rPr>
              <w:t>Nguy cơ</w:t>
            </w:r>
          </w:p>
        </w:tc>
        <w:tc>
          <w:tcPr>
            <w:tcW w:type="dxa" w:w="1938"/>
          </w:tcPr>
          <w:p>
            <w:r>
              <w:rPr>
                <w:rFonts w:ascii="Times New Roman" w:hAnsi="Times New Roman"/>
                <w:sz w:val="22"/>
              </w:rPr>
              <w:t>p &lt; 0,001</w:t>
            </w:r>
          </w:p>
        </w:tc>
      </w:tr>
      <w:tr>
        <w:tc>
          <w:tcPr>
            <w:tcW w:type="dxa" w:w="1938"/>
          </w:tcPr>
          <w:p>
            <w:r>
              <w:rPr>
                <w:rFonts w:ascii="Times New Roman" w:hAnsi="Times New Roman"/>
                <w:sz w:val="22"/>
              </w:rPr>
              <w:t>2</w:t>
            </w:r>
          </w:p>
        </w:tc>
        <w:tc>
          <w:tcPr>
            <w:tcW w:type="dxa" w:w="1938"/>
          </w:tcPr>
          <w:p>
            <w:r>
              <w:rPr>
                <w:rFonts w:ascii="Times New Roman" w:hAnsi="Times New Roman"/>
                <w:sz w:val="22"/>
              </w:rPr>
              <w:t>Thời gian dùng máy tính/điện thoại</w:t>
            </w:r>
          </w:p>
        </w:tc>
        <w:tc>
          <w:tcPr>
            <w:tcW w:type="dxa" w:w="1938"/>
          </w:tcPr>
          <w:p>
            <w:r>
              <w:rPr>
                <w:rFonts w:ascii="Times New Roman" w:hAnsi="Times New Roman"/>
                <w:sz w:val="22"/>
              </w:rPr>
              <w:t>0,176</w:t>
            </w:r>
          </w:p>
        </w:tc>
        <w:tc>
          <w:tcPr>
            <w:tcW w:type="dxa" w:w="1938"/>
          </w:tcPr>
          <w:p>
            <w:r>
              <w:rPr>
                <w:rFonts w:ascii="Times New Roman" w:hAnsi="Times New Roman"/>
                <w:sz w:val="22"/>
              </w:rPr>
              <w:t>Nguy cơ</w:t>
            </w:r>
          </w:p>
        </w:tc>
        <w:tc>
          <w:tcPr>
            <w:tcW w:type="dxa" w:w="1938"/>
          </w:tcPr>
          <w:p>
            <w:r>
              <w:rPr>
                <w:rFonts w:ascii="Times New Roman" w:hAnsi="Times New Roman"/>
                <w:sz w:val="22"/>
              </w:rPr>
              <w:t>p &lt; 0,001</w:t>
            </w:r>
          </w:p>
        </w:tc>
      </w:tr>
      <w:tr>
        <w:tc>
          <w:tcPr>
            <w:tcW w:type="dxa" w:w="1938"/>
          </w:tcPr>
          <w:p>
            <w:r>
              <w:rPr>
                <w:rFonts w:ascii="Times New Roman" w:hAnsi="Times New Roman"/>
                <w:sz w:val="22"/>
              </w:rPr>
              <w:t>3</w:t>
            </w:r>
          </w:p>
        </w:tc>
        <w:tc>
          <w:tcPr>
            <w:tcW w:type="dxa" w:w="1938"/>
          </w:tcPr>
          <w:p>
            <w:r>
              <w:rPr>
                <w:rFonts w:ascii="Times New Roman" w:hAnsi="Times New Roman"/>
                <w:sz w:val="22"/>
              </w:rPr>
              <w:t>Giấc ngủ đủ</w:t>
            </w:r>
          </w:p>
        </w:tc>
        <w:tc>
          <w:tcPr>
            <w:tcW w:type="dxa" w:w="1938"/>
          </w:tcPr>
          <w:p>
            <w:r>
              <w:rPr>
                <w:rFonts w:ascii="Times New Roman" w:hAnsi="Times New Roman"/>
                <w:sz w:val="22"/>
              </w:rPr>
              <w:t>–0,149</w:t>
            </w:r>
          </w:p>
        </w:tc>
        <w:tc>
          <w:tcPr>
            <w:tcW w:type="dxa" w:w="1938"/>
          </w:tcPr>
          <w:p>
            <w:r>
              <w:rPr>
                <w:rFonts w:ascii="Times New Roman" w:hAnsi="Times New Roman"/>
                <w:sz w:val="22"/>
              </w:rPr>
              <w:t>Bảo vệ</w:t>
            </w:r>
          </w:p>
        </w:tc>
        <w:tc>
          <w:tcPr>
            <w:tcW w:type="dxa" w:w="1938"/>
          </w:tcPr>
          <w:p>
            <w:r>
              <w:rPr>
                <w:rFonts w:ascii="Times New Roman" w:hAnsi="Times New Roman"/>
                <w:sz w:val="22"/>
              </w:rPr>
              <w:t>p &lt; 0,001</w:t>
            </w:r>
          </w:p>
        </w:tc>
      </w:tr>
      <w:tr>
        <w:tc>
          <w:tcPr>
            <w:tcW w:type="dxa" w:w="1938"/>
          </w:tcPr>
          <w:p>
            <w:r>
              <w:rPr>
                <w:rFonts w:ascii="Times New Roman" w:hAnsi="Times New Roman"/>
                <w:sz w:val="22"/>
              </w:rPr>
              <w:t>4</w:t>
            </w:r>
          </w:p>
        </w:tc>
        <w:tc>
          <w:tcPr>
            <w:tcW w:type="dxa" w:w="1938"/>
          </w:tcPr>
          <w:p>
            <w:r>
              <w:rPr>
                <w:rFonts w:ascii="Times New Roman" w:hAnsi="Times New Roman"/>
                <w:sz w:val="22"/>
              </w:rPr>
              <w:t>Hoạt động thể thao</w:t>
            </w:r>
          </w:p>
        </w:tc>
        <w:tc>
          <w:tcPr>
            <w:tcW w:type="dxa" w:w="1938"/>
          </w:tcPr>
          <w:p>
            <w:r>
              <w:rPr>
                <w:rFonts w:ascii="Times New Roman" w:hAnsi="Times New Roman"/>
                <w:sz w:val="22"/>
              </w:rPr>
              <w:t>–0,087</w:t>
            </w:r>
          </w:p>
        </w:tc>
        <w:tc>
          <w:tcPr>
            <w:tcW w:type="dxa" w:w="1938"/>
          </w:tcPr>
          <w:p>
            <w:r>
              <w:rPr>
                <w:rFonts w:ascii="Times New Roman" w:hAnsi="Times New Roman"/>
                <w:sz w:val="22"/>
              </w:rPr>
              <w:t>Bảo vệ</w:t>
            </w:r>
          </w:p>
        </w:tc>
        <w:tc>
          <w:tcPr>
            <w:tcW w:type="dxa" w:w="1938"/>
          </w:tcPr>
          <w:p>
            <w:r>
              <w:rPr>
                <w:rFonts w:ascii="Times New Roman" w:hAnsi="Times New Roman"/>
                <w:sz w:val="22"/>
              </w:rPr>
              <w:t>p &lt; 0,01</w:t>
            </w:r>
          </w:p>
        </w:tc>
      </w:tr>
    </w:tbl>
    <w:p>
      <w:r>
        <w:rPr>
          <w:b w:val="0"/>
          <w:i w:val="0"/>
          <w:color w:val="000000"/>
          <w:sz w:val="24"/>
        </w:rPr>
      </w:r>
    </w:p>
    <w:p>
      <w:r>
        <w:rPr>
          <w:b/>
          <w:i/>
          <w:color w:val="000000"/>
          <w:sz w:val="24"/>
        </w:rPr>
        <w:t>⚠ Lưu ý quan trọng về hướng β: Beta = 0,272 cho "mối quan hệ cha mẹ–con" mang dấu DƯƠNG, nghĩa là điểm cao của biến này tương quan với điểm DAS cao. Diễn giải này gợi ý biến đo MÂU THUẪN, CĂNG THẲNG, hoặc XUNG ĐỘT trong quan hệ — không phải chất lượng quan hệ tích cực. Bài gốc KHÔNG nêu rõ thang đo cụ thể (chỉ ghi "tính chất mối quan hệ với cha mẹ"), gây khó diễn giải chính xác. Đây là điểm yếu PHƯƠNG PHÁP đáng lưu ý khi trích dẫn.</w:t>
      </w:r>
    </w:p>
    <w:p>
      <w:r>
        <w:rPr>
          <w:b/>
          <w:color w:val="1F497D"/>
          <w:sz w:val="28"/>
        </w:rPr>
        <w:t>2. Yếu tố 1: Mối quan hệ cha mẹ–con (β = 0,272)</w:t>
      </w:r>
    </w:p>
    <w:p>
      <w:r>
        <w:rPr>
          <w:b/>
          <w:color w:val="1F497D"/>
          <w:sz w:val="24"/>
        </w:rPr>
        <w:t>2.1. Giá trị trong nghiên cứu</w:t>
      </w:r>
    </w:p>
    <w:p>
      <w:r>
        <w:rPr>
          <w:b w:val="0"/>
          <w:i w:val="0"/>
          <w:color w:val="000000"/>
          <w:sz w:val="24"/>
        </w:rPr>
        <w:t>Beta chuẩn hóa 0,272 (p &lt; 0,001) là HỆ SỐ MẠNH NHẤT trong bốn yếu tố ảnh hưởng được xác định. Theo phân loại Cohen (1988), |β| = 0,272 thuộc vùng "trung bình" (0,1 nhỏ; 0,3 trung bình; 0,5 lớn). Trong dân số mẫu lớn (n = 8.389), hệ số này có ý nghĩa thống kê chắc chắn và độ chính xác cao.</w:t>
      </w:r>
    </w:p>
    <w:p>
      <w:r>
        <w:rPr>
          <w:b/>
          <w:color w:val="1F497D"/>
          <w:sz w:val="24"/>
        </w:rPr>
        <w:t>2.2. Đối chiếu với corpus dự án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2"/>
              </w:rPr>
              <w:t>Nghiên cứu</w:t>
            </w:r>
          </w:p>
        </w:tc>
        <w:tc>
          <w:tcPr>
            <w:tcW w:type="dxa" w:w="2422"/>
          </w:tcPr>
          <w:p>
            <w:r>
              <w:rPr>
                <w:rFonts w:ascii="Times New Roman" w:hAnsi="Times New Roman"/>
                <w:sz w:val="22"/>
              </w:rPr>
              <w:t>Beta/OR</w:t>
            </w:r>
          </w:p>
        </w:tc>
        <w:tc>
          <w:tcPr>
            <w:tcW w:type="dxa" w:w="2422"/>
          </w:tcPr>
          <w:p>
            <w:r>
              <w:rPr>
                <w:rFonts w:ascii="Times New Roman" w:hAnsi="Times New Roman"/>
                <w:sz w:val="22"/>
              </w:rPr>
              <w:t>Hướng</w:t>
            </w:r>
          </w:p>
        </w:tc>
        <w:tc>
          <w:tcPr>
            <w:tcW w:type="dxa" w:w="2422"/>
          </w:tcPr>
          <w:p>
            <w:r>
              <w:rPr>
                <w:rFonts w:ascii="Times New Roman" w:hAnsi="Times New Roman"/>
                <w:sz w:val="22"/>
              </w:rPr>
              <w:t>Diễn giải</w:t>
            </w:r>
          </w:p>
        </w:tc>
      </w:tr>
      <w:tr>
        <w:tc>
          <w:tcPr>
            <w:tcW w:type="dxa" w:w="2422"/>
          </w:tcPr>
          <w:p>
            <w:r>
              <w:rPr>
                <w:rFonts w:ascii="Times New Roman" w:hAnsi="Times New Roman"/>
                <w:sz w:val="22"/>
              </w:rPr>
              <w:t>VN014 Hoàng Trung Học (2025)</w:t>
            </w:r>
          </w:p>
        </w:tc>
        <w:tc>
          <w:tcPr>
            <w:tcW w:type="dxa" w:w="2422"/>
          </w:tcPr>
          <w:p>
            <w:r>
              <w:rPr>
                <w:rFonts w:ascii="Times New Roman" w:hAnsi="Times New Roman"/>
                <w:sz w:val="22"/>
              </w:rPr>
              <w:t>β = 0,272</w:t>
            </w:r>
          </w:p>
        </w:tc>
        <w:tc>
          <w:tcPr>
            <w:tcW w:type="dxa" w:w="2422"/>
          </w:tcPr>
          <w:p>
            <w:r>
              <w:rPr>
                <w:rFonts w:ascii="Times New Roman" w:hAnsi="Times New Roman"/>
                <w:sz w:val="22"/>
              </w:rPr>
              <w:t>Dương</w:t>
            </w:r>
          </w:p>
        </w:tc>
        <w:tc>
          <w:tcPr>
            <w:tcW w:type="dxa" w:w="2422"/>
          </w:tcPr>
          <w:p>
            <w:r>
              <w:rPr>
                <w:rFonts w:ascii="Times New Roman" w:hAnsi="Times New Roman"/>
                <w:sz w:val="22"/>
              </w:rPr>
              <w:t>Quan hệ cha mẹ-con (có thể mâu thuẫn) tăng → DAS tăng</w:t>
            </w:r>
          </w:p>
        </w:tc>
      </w:tr>
      <w:tr>
        <w:tc>
          <w:tcPr>
            <w:tcW w:type="dxa" w:w="2422"/>
          </w:tcPr>
          <w:p>
            <w:r>
              <w:rPr>
                <w:rFonts w:ascii="Times New Roman" w:hAnsi="Times New Roman"/>
                <w:sz w:val="22"/>
              </w:rPr>
              <w:t>VN003 Phạm và cộng sự (2024) tại Huế</w:t>
            </w:r>
          </w:p>
        </w:tc>
        <w:tc>
          <w:tcPr>
            <w:tcW w:type="dxa" w:w="2422"/>
          </w:tcPr>
          <w:p>
            <w:r>
              <w:rPr>
                <w:rFonts w:ascii="Times New Roman" w:hAnsi="Times New Roman"/>
                <w:sz w:val="22"/>
              </w:rPr>
              <w:t>β = –0,40</w:t>
            </w:r>
          </w:p>
        </w:tc>
        <w:tc>
          <w:tcPr>
            <w:tcW w:type="dxa" w:w="2422"/>
          </w:tcPr>
          <w:p>
            <w:r>
              <w:rPr>
                <w:rFonts w:ascii="Times New Roman" w:hAnsi="Times New Roman"/>
                <w:sz w:val="22"/>
              </w:rPr>
              <w:t>Âm</w:t>
            </w:r>
          </w:p>
        </w:tc>
        <w:tc>
          <w:tcPr>
            <w:tcW w:type="dxa" w:w="2422"/>
          </w:tcPr>
          <w:p>
            <w:r>
              <w:rPr>
                <w:rFonts w:ascii="Times New Roman" w:hAnsi="Times New Roman"/>
                <w:sz w:val="22"/>
              </w:rPr>
              <w:t>Chăm sóc cảm xúc tăng → lo âu giảm</w:t>
            </w:r>
          </w:p>
        </w:tc>
      </w:tr>
      <w:tr>
        <w:tc>
          <w:tcPr>
            <w:tcW w:type="dxa" w:w="2422"/>
          </w:tcPr>
          <w:p>
            <w:r>
              <w:rPr>
                <w:rFonts w:ascii="Times New Roman" w:hAnsi="Times New Roman"/>
                <w:sz w:val="22"/>
              </w:rPr>
              <w:t>QT009 Qiu và cộng sự (2022) Trung Quốc</w:t>
            </w:r>
          </w:p>
        </w:tc>
        <w:tc>
          <w:tcPr>
            <w:tcW w:type="dxa" w:w="2422"/>
          </w:tcPr>
          <w:p>
            <w:r>
              <w:rPr>
                <w:rFonts w:ascii="Times New Roman" w:hAnsi="Times New Roman"/>
                <w:sz w:val="22"/>
              </w:rPr>
              <w:t>OR = 0,30</w:t>
            </w:r>
          </w:p>
        </w:tc>
        <w:tc>
          <w:tcPr>
            <w:tcW w:type="dxa" w:w="2422"/>
          </w:tcPr>
          <w:p>
            <w:r>
              <w:rPr>
                <w:rFonts w:ascii="Times New Roman" w:hAnsi="Times New Roman"/>
                <w:sz w:val="22"/>
              </w:rPr>
              <w:t>Bảo vệ</w:t>
            </w:r>
          </w:p>
        </w:tc>
        <w:tc>
          <w:tcPr>
            <w:tcW w:type="dxa" w:w="2422"/>
          </w:tcPr>
          <w:p>
            <w:r>
              <w:rPr>
                <w:rFonts w:ascii="Times New Roman" w:hAnsi="Times New Roman"/>
                <w:sz w:val="22"/>
              </w:rPr>
              <w:t>Nuôi dạy tích cực giảm 70% trầm cảm</w:t>
            </w:r>
          </w:p>
        </w:tc>
      </w:tr>
      <w:tr>
        <w:tc>
          <w:tcPr>
            <w:tcW w:type="dxa" w:w="2422"/>
          </w:tcPr>
          <w:p>
            <w:r>
              <w:rPr>
                <w:rFonts w:ascii="Times New Roman" w:hAnsi="Times New Roman"/>
                <w:sz w:val="22"/>
              </w:rPr>
              <w:t>QT009 Qiu và cộng sự (2022) Trung Quốc</w:t>
            </w:r>
          </w:p>
        </w:tc>
        <w:tc>
          <w:tcPr>
            <w:tcW w:type="dxa" w:w="2422"/>
          </w:tcPr>
          <w:p>
            <w:r>
              <w:rPr>
                <w:rFonts w:ascii="Times New Roman" w:hAnsi="Times New Roman"/>
                <w:sz w:val="22"/>
              </w:rPr>
              <w:t>OR = 2,01</w:t>
            </w:r>
          </w:p>
        </w:tc>
        <w:tc>
          <w:tcPr>
            <w:tcW w:type="dxa" w:w="2422"/>
          </w:tcPr>
          <w:p>
            <w:r>
              <w:rPr>
                <w:rFonts w:ascii="Times New Roman" w:hAnsi="Times New Roman"/>
                <w:sz w:val="22"/>
              </w:rPr>
              <w:t>Nguy cơ</w:t>
            </w:r>
          </w:p>
        </w:tc>
        <w:tc>
          <w:tcPr>
            <w:tcW w:type="dxa" w:w="2422"/>
          </w:tcPr>
          <w:p>
            <w:r>
              <w:rPr>
                <w:rFonts w:ascii="Times New Roman" w:hAnsi="Times New Roman"/>
                <w:sz w:val="22"/>
              </w:rPr>
              <w:t>Nuôi dạy tiêu cực tăng 2 lần lo âu</w:t>
            </w:r>
          </w:p>
        </w:tc>
      </w:tr>
      <w:tr>
        <w:tc>
          <w:tcPr>
            <w:tcW w:type="dxa" w:w="2422"/>
          </w:tcPr>
          <w:p>
            <w:r>
              <w:rPr>
                <w:rFonts w:ascii="Times New Roman" w:hAnsi="Times New Roman"/>
                <w:sz w:val="22"/>
              </w:rPr>
              <w:t>V-NAMHS 2022 (UNICEF Việt Nam)</w:t>
            </w:r>
          </w:p>
        </w:tc>
        <w:tc>
          <w:tcPr>
            <w:tcW w:type="dxa" w:w="2422"/>
          </w:tcPr>
          <w:p>
            <w:r>
              <w:rPr>
                <w:rFonts w:ascii="Times New Roman" w:hAnsi="Times New Roman"/>
                <w:sz w:val="22"/>
              </w:rPr>
              <w:t>5,1%</w:t>
            </w:r>
          </w:p>
        </w:tc>
        <w:tc>
          <w:tcPr>
            <w:tcW w:type="dxa" w:w="2422"/>
          </w:tcPr>
          <w:p>
            <w:r>
              <w:rPr>
                <w:rFonts w:ascii="Times New Roman" w:hAnsi="Times New Roman"/>
                <w:sz w:val="22"/>
              </w:rPr>
              <w:t>Khoảng trống</w:t>
            </w:r>
          </w:p>
        </w:tc>
        <w:tc>
          <w:tcPr>
            <w:tcW w:type="dxa" w:w="2422"/>
          </w:tcPr>
          <w:p>
            <w:r>
              <w:rPr>
                <w:rFonts w:ascii="Times New Roman" w:hAnsi="Times New Roman"/>
                <w:sz w:val="22"/>
              </w:rPr>
              <w:t>Phụ huynh xác định được con cần trợ giúp</w:t>
            </w:r>
          </w:p>
        </w:tc>
      </w:tr>
    </w:tbl>
    <w:p>
      <w:r>
        <w:rPr>
          <w:b w:val="0"/>
          <w:i w:val="0"/>
          <w:color w:val="000000"/>
          <w:sz w:val="24"/>
        </w:rPr>
      </w:r>
    </w:p>
    <w:p>
      <w:r>
        <w:rPr>
          <w:b w:val="0"/>
          <w:i w:val="0"/>
          <w:color w:val="000000"/>
          <w:sz w:val="24"/>
        </w:rPr>
        <w:t>So sánh ba bài cho thấy bức tranh nhất quán — quan hệ gia đình là yếu tố TRUNG TÂM của lo âu vị thành niên Việt Nam và Á Châu. Tuy nhiên, ba bài đo các khía cạnh KHÁC NHAU của quan hệ này: VN014 đo "tính chất mối quan hệ" (có thể là mâu thuẫn); VN003 đo CHẤT LƯỢNG hỗ trợ cảm xúc; QT008 đo KIỂU NUÔI DẠY (positive vs negative parenting style). Phù hợp với khung của Pascoe, Hetrick và Parker (2020) trong International Journal of Adolescence and Youth — yếu tố gia đình tác động đa chiều lên lo âu thanh thiếu niên, không chỉ qua một biến đơn.</w:t>
      </w:r>
    </w:p>
    <w:p>
      <w:r>
        <w:rPr>
          <w:b/>
          <w:color w:val="1F497D"/>
          <w:sz w:val="24"/>
        </w:rPr>
        <w:t>2.3. Phản biện điểm yếu</w:t>
      </w:r>
    </w:p>
    <w:p>
      <w:pPr>
        <w:pStyle w:val="ListBullet"/>
      </w:pPr>
      <w:r>
        <w:rPr>
          <w:i w:val="0"/>
          <w:color w:val="000000"/>
          <w:sz w:val="24"/>
        </w:rPr>
        <w:t>Bài KHÔNG nêu thang đo cụ thể cho "mối quan hệ cha mẹ–con". Chuẩn quốc tế: Parental Bonding Instrument (PBI; Parker và cộng sự, 1979), Family Assessment Device (FAD-12; Epstein và cộng sự, 1983), hoặc Parental Acceptance-Rejection Questionnaire (PARQ).</w:t>
      </w:r>
    </w:p>
    <w:p>
      <w:pPr>
        <w:pStyle w:val="ListBullet"/>
      </w:pPr>
      <w:r>
        <w:rPr>
          <w:i w:val="0"/>
          <w:color w:val="000000"/>
          <w:sz w:val="24"/>
        </w:rPr>
        <w:t>Hướng β dương (0,272) gợi ý đo MÂU THUẪN hoặc THANG NGƯỢC — cần làm rõ trong báo cáo. Nếu đo "chất lượng quan hệ" theo chuẩn thông thường thì β phải ÂM (như VN003 Phạm 2024 với β = -0,40).</w:t>
      </w:r>
    </w:p>
    <w:p>
      <w:pPr>
        <w:pStyle w:val="ListBullet"/>
      </w:pPr>
      <w:r>
        <w:rPr>
          <w:i w:val="0"/>
          <w:color w:val="000000"/>
          <w:sz w:val="24"/>
        </w:rPr>
        <w:t>Khoảng trống GIAO TIẾP gia đình–con không được đo. V-NAMHS 2022 ghi nhận chỉ 5,1% phụ huynh Việt Nam xác định được con cần trợ giúp tâm lý — nói cách khác, ngay cả khi cha mẹ có thiện chí, vẫn có khoảng trống nhận biết.</w:t>
      </w:r>
    </w:p>
    <w:p>
      <w:r>
        <w:rPr>
          <w:b/>
          <w:color w:val="1F497D"/>
          <w:sz w:val="24"/>
        </w:rPr>
        <w:t>2.4. Hàm ý can thiệp</w:t>
      </w:r>
    </w:p>
    <w:p>
      <w:r>
        <w:rPr>
          <w:b w:val="0"/>
          <w:i w:val="0"/>
          <w:color w:val="000000"/>
          <w:sz w:val="24"/>
        </w:rPr>
        <w:t>Bất kể hướng β được diễn giải thế nào, kết quả khẳng định quan hệ cha mẹ–con là MỤC TIÊU CAN THIỆP ƯU TIÊN. Chương trình tập huấn cha mẹ (parenting training) đã được Cai và cộng sự (2025) trong phân tích tổng hợp các thử nghiệm ngẫu nhiên có đối chứng tại trường xác nhận hiệu quả tăng resilience và giảm triệu chứng tâm lý ở trẻ. Mô hình stepped-care của Matsumoto và cộng sự (2024) tại Nhật Bản đề xuất tích hợp tập huấn phụ huynh vào Tầng 2 (selective intervention) cho học sinh có yếu tố nguy cơ.</w:t>
      </w:r>
    </w:p>
    <w:p>
      <w:r>
        <w:rPr>
          <w:b/>
          <w:color w:val="1F497D"/>
          <w:sz w:val="28"/>
        </w:rPr>
        <w:t>3. Yếu tố 2: Sử dụng thiết bị điện tử (β = 0,176)</w:t>
      </w:r>
    </w:p>
    <w:p>
      <w:r>
        <w:rPr>
          <w:b/>
          <w:color w:val="1F497D"/>
          <w:sz w:val="24"/>
        </w:rPr>
        <w:t>3.1. Giá trị trong nghiên cứu</w:t>
      </w:r>
    </w:p>
    <w:p>
      <w:r>
        <w:rPr>
          <w:b w:val="0"/>
          <w:i w:val="0"/>
          <w:color w:val="000000"/>
          <w:sz w:val="24"/>
        </w:rPr>
        <w:t>Beta chuẩn hóa 0,176 (p &lt; 0,001) — yếu tố nguy cơ MẠNH THỨ HAI sau quan hệ cha mẹ–con. Theo Cohen (1988), |β| = 0,176 thuộc vùng "yếu–trung bình". Mặc dù không quá lớn, ý nghĩa thực hành đáng kể vì biến này có thể can thiệp được ở cả ba cấp độ — cá nhân, gia đình, và chính sách trường học.</w:t>
      </w:r>
    </w:p>
    <w:p>
      <w:r>
        <w:rPr>
          <w:b/>
          <w:color w:val="1F497D"/>
          <w:sz w:val="24"/>
        </w:rPr>
        <w:t>3.2. Đối chiếu với corpus dự án</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Nghiên cứu</w:t>
            </w:r>
          </w:p>
        </w:tc>
        <w:tc>
          <w:tcPr>
            <w:tcW w:type="dxa" w:w="3230"/>
          </w:tcPr>
          <w:p>
            <w:r>
              <w:rPr>
                <w:rFonts w:ascii="Times New Roman" w:hAnsi="Times New Roman"/>
                <w:sz w:val="22"/>
              </w:rPr>
              <w:t>Cường độ</w:t>
            </w:r>
          </w:p>
        </w:tc>
        <w:tc>
          <w:tcPr>
            <w:tcW w:type="dxa" w:w="3230"/>
          </w:tcPr>
          <w:p>
            <w:r>
              <w:rPr>
                <w:rFonts w:ascii="Times New Roman" w:hAnsi="Times New Roman"/>
                <w:sz w:val="22"/>
              </w:rPr>
              <w:t>Phát hiện chính</w:t>
            </w:r>
          </w:p>
        </w:tc>
      </w:tr>
      <w:tr>
        <w:tc>
          <w:tcPr>
            <w:tcW w:type="dxa" w:w="3230"/>
          </w:tcPr>
          <w:p>
            <w:r>
              <w:rPr>
                <w:rFonts w:ascii="Times New Roman" w:hAnsi="Times New Roman"/>
                <w:sz w:val="22"/>
              </w:rPr>
              <w:t>VN014 Hoàng Trung Học (2025)</w:t>
            </w:r>
          </w:p>
        </w:tc>
        <w:tc>
          <w:tcPr>
            <w:tcW w:type="dxa" w:w="3230"/>
          </w:tcPr>
          <w:p>
            <w:r>
              <w:rPr>
                <w:rFonts w:ascii="Times New Roman" w:hAnsi="Times New Roman"/>
                <w:sz w:val="22"/>
              </w:rPr>
              <w:t>β = 0,176</w:t>
            </w:r>
          </w:p>
        </w:tc>
        <w:tc>
          <w:tcPr>
            <w:tcW w:type="dxa" w:w="3230"/>
          </w:tcPr>
          <w:p>
            <w:r>
              <w:rPr>
                <w:rFonts w:ascii="Times New Roman" w:hAnsi="Times New Roman"/>
                <w:sz w:val="22"/>
              </w:rPr>
              <w:t>Thời gian dùng máy tính/điện thoại tăng → DAS tăng</w:t>
            </w:r>
          </w:p>
        </w:tc>
      </w:tr>
      <w:tr>
        <w:tc>
          <w:tcPr>
            <w:tcW w:type="dxa" w:w="3230"/>
          </w:tcPr>
          <w:p>
            <w:r>
              <w:rPr>
                <w:rFonts w:ascii="Times New Roman" w:hAnsi="Times New Roman"/>
                <w:sz w:val="22"/>
              </w:rPr>
              <w:t>QT021 Brunborg và cộng sự (2025) Na Uy</w:t>
            </w:r>
          </w:p>
        </w:tc>
        <w:tc>
          <w:tcPr>
            <w:tcW w:type="dxa" w:w="3230"/>
          </w:tcPr>
          <w:p>
            <w:r>
              <w:rPr>
                <w:rFonts w:ascii="Times New Roman" w:hAnsi="Times New Roman"/>
                <w:sz w:val="22"/>
              </w:rPr>
              <w:t>β = 0,18 (nữ)</w:t>
            </w:r>
          </w:p>
        </w:tc>
        <w:tc>
          <w:tcPr>
            <w:tcW w:type="dxa" w:w="3230"/>
          </w:tcPr>
          <w:p>
            <w:r>
              <w:rPr>
                <w:rFonts w:ascii="Times New Roman" w:hAnsi="Times New Roman"/>
                <w:sz w:val="22"/>
              </w:rPr>
              <w:t>Mạng xã hội giải thích phần lớn xu hướng tăng distress</w:t>
            </w:r>
          </w:p>
        </w:tc>
      </w:tr>
      <w:tr>
        <w:tc>
          <w:tcPr>
            <w:tcW w:type="dxa" w:w="3230"/>
          </w:tcPr>
          <w:p>
            <w:r>
              <w:rPr>
                <w:rFonts w:ascii="Times New Roman" w:hAnsi="Times New Roman"/>
                <w:sz w:val="22"/>
              </w:rPr>
              <w:t>QT033 Schmidt-Persson và cộng sự (2024) Đan Mạch</w:t>
            </w:r>
          </w:p>
        </w:tc>
        <w:tc>
          <w:tcPr>
            <w:tcW w:type="dxa" w:w="3230"/>
          </w:tcPr>
          <w:p>
            <w:r>
              <w:rPr>
                <w:rFonts w:ascii="Times New Roman" w:hAnsi="Times New Roman"/>
                <w:sz w:val="22"/>
              </w:rPr>
              <w:t>RCT n = 89</w:t>
            </w:r>
          </w:p>
        </w:tc>
        <w:tc>
          <w:tcPr>
            <w:tcW w:type="dxa" w:w="3230"/>
          </w:tcPr>
          <w:p>
            <w:r>
              <w:rPr>
                <w:rFonts w:ascii="Times New Roman" w:hAnsi="Times New Roman"/>
                <w:sz w:val="22"/>
              </w:rPr>
              <w:t>Hạn chế màn hình 14 ngày cải thiện vấn đề tâm lý nội hóa</w:t>
            </w:r>
          </w:p>
        </w:tc>
      </w:tr>
      <w:tr>
        <w:tc>
          <w:tcPr>
            <w:tcW w:type="dxa" w:w="3230"/>
          </w:tcPr>
          <w:p>
            <w:r>
              <w:rPr>
                <w:rFonts w:ascii="Times New Roman" w:hAnsi="Times New Roman"/>
                <w:sz w:val="22"/>
              </w:rPr>
              <w:t>QT007 Chen và cộng sự (2023) Trung Quốc, BMC Psychiatry</w:t>
            </w:r>
          </w:p>
        </w:tc>
        <w:tc>
          <w:tcPr>
            <w:tcW w:type="dxa" w:w="3230"/>
          </w:tcPr>
          <w:p>
            <w:r>
              <w:rPr>
                <w:rFonts w:ascii="Times New Roman" w:hAnsi="Times New Roman"/>
                <w:sz w:val="22"/>
              </w:rPr>
              <w:t>OR = 5,00</w:t>
            </w:r>
          </w:p>
        </w:tc>
        <w:tc>
          <w:tcPr>
            <w:tcW w:type="dxa" w:w="3230"/>
          </w:tcPr>
          <w:p>
            <w:r>
              <w:rPr>
                <w:rFonts w:ascii="Times New Roman" w:hAnsi="Times New Roman"/>
                <w:sz w:val="22"/>
              </w:rPr>
              <w:t>Rối loạn chơi game tăng 5 lần lo âu</w:t>
            </w:r>
          </w:p>
        </w:tc>
      </w:tr>
    </w:tbl>
    <w:p>
      <w:r>
        <w:rPr>
          <w:b w:val="0"/>
          <w:i w:val="0"/>
          <w:color w:val="000000"/>
          <w:sz w:val="24"/>
        </w:rPr>
      </w:r>
    </w:p>
    <w:p>
      <w:r>
        <w:rPr>
          <w:b w:val="0"/>
          <w:i w:val="0"/>
          <w:color w:val="000000"/>
          <w:sz w:val="24"/>
        </w:rPr>
        <w:t>Phù hợp với phát hiện toàn cầu — sử dụng thiết bị điện tử là yếu tố nguy cơ ĐƯỢC XÁC LẬP cho lo âu vị thành niên. Đáng chú ý, Brunborg và cộng sự (2025) trên 979.043 học sinh Na Uy ghi nhận β chuẩn hóa cho thời gian sử dụng mạng xã hội ở học sinh nữ là 0,18 — gần ngang với β của VN014. Nói cách khác, hai nghiên cứu trên hai nền văn hóa khác biệt ghi nhận cường độ tác động TƯƠNG TỰ — củng cố tính phổ quát của yếu tố này.</w:t>
      </w:r>
    </w:p>
    <w:p>
      <w:r>
        <w:rPr>
          <w:b/>
          <w:color w:val="1F497D"/>
          <w:sz w:val="24"/>
        </w:rPr>
        <w:t>3.3. Phản biện điểm yếu</w:t>
      </w:r>
    </w:p>
    <w:p>
      <w:pPr>
        <w:pStyle w:val="ListBullet"/>
      </w:pPr>
      <w:r>
        <w:rPr>
          <w:i w:val="0"/>
          <w:color w:val="000000"/>
          <w:sz w:val="24"/>
        </w:rPr>
        <w:t>Bài CHỈ đo TẦN SUẤT (thời gian) sử dụng, KHÔNG đo NỘI DUNG hoặc CHẤT LƯỢNG. Brunborg và cộng sự (2025) cũng chỉ ra hạn chế tương tự — đo thời gian tổng (≥ 3 giờ/ngày) không phân biệt được hoạt động học tập, giải trí, hay tương tác xã hội.</w:t>
      </w:r>
    </w:p>
    <w:p>
      <w:pPr>
        <w:pStyle w:val="ListBullet"/>
      </w:pPr>
      <w:r>
        <w:rPr>
          <w:i w:val="0"/>
          <w:color w:val="000000"/>
          <w:sz w:val="24"/>
        </w:rPr>
        <w:t>Không phân biệt LOẠI thiết bị (máy tính học tập, smartphone giải trí, máy tính bảng) hay LOẠI ứng dụng (mạng xã hội, video, game, học tập). Theo Schmidt-Persson và cộng sự (2024), hạn chế CỤ THỂ "màn hình giải trí" mới có hiệu quả cải thiện tâm lý — không phải hạn chế tổng.</w:t>
      </w:r>
    </w:p>
    <w:p>
      <w:pPr>
        <w:pStyle w:val="ListBullet"/>
      </w:pPr>
      <w:r>
        <w:rPr>
          <w:i w:val="0"/>
          <w:color w:val="000000"/>
          <w:sz w:val="24"/>
        </w:rPr>
        <w:t>Không phân tích tương tác với GIỚI TÍNH. Brunborg 2025 cho thấy mạng xã hội tác động MẠNH HƠN đến học sinh nữ; VN014 không kiểm chứng được giả thuyết này.</w:t>
      </w:r>
    </w:p>
    <w:p>
      <w:pPr>
        <w:pStyle w:val="ListBullet"/>
      </w:pPr>
      <w:r>
        <w:rPr>
          <w:i w:val="0"/>
          <w:color w:val="000000"/>
          <w:sz w:val="24"/>
        </w:rPr>
        <w:t>Cỡ mẫu n = 8.389 đủ lớn để phát hiện hiệu ứng tinh tế, nhưng do không có thiết kế dọc thực sự (chỉ hai cắt ngang trên hai mẫu khác nhau), không thể kết luận NHÂN QUẢ — chỉ là tương quan.</w:t>
      </w:r>
    </w:p>
    <w:p>
      <w:r>
        <w:rPr>
          <w:b/>
          <w:color w:val="1F497D"/>
          <w:sz w:val="24"/>
        </w:rPr>
        <w:t>3.4. Hàm ý can thiệp</w:t>
      </w:r>
    </w:p>
    <w:p>
      <w:r>
        <w:rPr>
          <w:b w:val="0"/>
          <w:i w:val="0"/>
          <w:color w:val="000000"/>
          <w:sz w:val="24"/>
        </w:rPr>
        <w:t>Phù hợp với hai chiến lược can thiệp đã có bằng chứng. Thứ nhất, hạn chế thời gian màn hình GIẢI TRÍ trong 14 ngày như Schmidt-Persson và cộng sự (2024) đã chứng minh hiệu quả trong thử nghiệm SCREENS-Kids. Thứ hai, giáo dục digital wellbeing cho học sinh — phát triển kỹ năng tự điều chỉnh thời gian, nhận biết tác động tâm lý của mạng xã hội, và tập trung vào nội dung tích cực. Cả hai chiến lược cần được tích hợp với sự ĐỒNG HÀNH của phụ huynh — kết nối với Yếu tố 1.</w:t>
      </w:r>
    </w:p>
    <w:p>
      <w:r>
        <w:rPr>
          <w:b/>
          <w:color w:val="1F497D"/>
          <w:sz w:val="28"/>
        </w:rPr>
        <w:t>4. So sánh hai yếu tố và hàm ý cho can thiệp</w:t>
      </w:r>
    </w:p>
    <w:p>
      <w:r>
        <w:rPr>
          <w:b w:val="0"/>
          <w:i w:val="0"/>
          <w:color w:val="000000"/>
          <w:sz w:val="24"/>
        </w:rPr>
        <w:t>Cả hai yếu tố là YẾU TỐ NGUY CƠ có thể can thiệp được — khác với các yếu tố nhân khẩu cố định như giới tính hoặc khối lớp. Tuy nhiên, cường độ tác động khác biệt rõ ràng — quan hệ cha mẹ–con (β = 0,272) mạnh hơn thiết bị điện tử (β = 0,176) khoảng 1,55 lần.</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Khía cạnh</w:t>
            </w:r>
          </w:p>
        </w:tc>
        <w:tc>
          <w:tcPr>
            <w:tcW w:type="dxa" w:w="3230"/>
          </w:tcPr>
          <w:p>
            <w:r>
              <w:rPr>
                <w:rFonts w:ascii="Times New Roman" w:hAnsi="Times New Roman"/>
                <w:sz w:val="22"/>
              </w:rPr>
              <w:t>Cha mẹ–con (β = 0,272)</w:t>
            </w:r>
          </w:p>
        </w:tc>
        <w:tc>
          <w:tcPr>
            <w:tcW w:type="dxa" w:w="3230"/>
          </w:tcPr>
          <w:p>
            <w:r>
              <w:rPr>
                <w:rFonts w:ascii="Times New Roman" w:hAnsi="Times New Roman"/>
                <w:sz w:val="22"/>
              </w:rPr>
              <w:t>Thiết bị điện tử (β = 0,176)</w:t>
            </w:r>
          </w:p>
        </w:tc>
      </w:tr>
      <w:tr>
        <w:tc>
          <w:tcPr>
            <w:tcW w:type="dxa" w:w="3230"/>
          </w:tcPr>
          <w:p>
            <w:r>
              <w:rPr>
                <w:rFonts w:ascii="Times New Roman" w:hAnsi="Times New Roman"/>
                <w:sz w:val="22"/>
              </w:rPr>
              <w:t>Cường độ</w:t>
            </w:r>
          </w:p>
        </w:tc>
        <w:tc>
          <w:tcPr>
            <w:tcW w:type="dxa" w:w="3230"/>
          </w:tcPr>
          <w:p>
            <w:r>
              <w:rPr>
                <w:rFonts w:ascii="Times New Roman" w:hAnsi="Times New Roman"/>
                <w:sz w:val="22"/>
              </w:rPr>
              <w:t>Mạnh nhất trong 4 yếu tố</w:t>
            </w:r>
          </w:p>
        </w:tc>
        <w:tc>
          <w:tcPr>
            <w:tcW w:type="dxa" w:w="3230"/>
          </w:tcPr>
          <w:p>
            <w:r>
              <w:rPr>
                <w:rFonts w:ascii="Times New Roman" w:hAnsi="Times New Roman"/>
                <w:sz w:val="22"/>
              </w:rPr>
              <w:t>Mạnh thứ hai</w:t>
            </w:r>
          </w:p>
        </w:tc>
      </w:tr>
      <w:tr>
        <w:tc>
          <w:tcPr>
            <w:tcW w:type="dxa" w:w="3230"/>
          </w:tcPr>
          <w:p>
            <w:r>
              <w:rPr>
                <w:rFonts w:ascii="Times New Roman" w:hAnsi="Times New Roman"/>
                <w:sz w:val="22"/>
              </w:rPr>
              <w:t>Cấp độ can thiệp</w:t>
            </w:r>
          </w:p>
        </w:tc>
        <w:tc>
          <w:tcPr>
            <w:tcW w:type="dxa" w:w="3230"/>
          </w:tcPr>
          <w:p>
            <w:r>
              <w:rPr>
                <w:rFonts w:ascii="Times New Roman" w:hAnsi="Times New Roman"/>
                <w:sz w:val="22"/>
              </w:rPr>
              <w:t>Gia đình + cá nhân</w:t>
            </w:r>
          </w:p>
        </w:tc>
        <w:tc>
          <w:tcPr>
            <w:tcW w:type="dxa" w:w="3230"/>
          </w:tcPr>
          <w:p>
            <w:r>
              <w:rPr>
                <w:rFonts w:ascii="Times New Roman" w:hAnsi="Times New Roman"/>
                <w:sz w:val="22"/>
              </w:rPr>
              <w:t>Cá nhân + chính sách trường</w:t>
            </w:r>
          </w:p>
        </w:tc>
      </w:tr>
      <w:tr>
        <w:tc>
          <w:tcPr>
            <w:tcW w:type="dxa" w:w="3230"/>
          </w:tcPr>
          <w:p>
            <w:r>
              <w:rPr>
                <w:rFonts w:ascii="Times New Roman" w:hAnsi="Times New Roman"/>
                <w:sz w:val="22"/>
              </w:rPr>
              <w:t>Thời gian thấy hiệu quả</w:t>
            </w:r>
          </w:p>
        </w:tc>
        <w:tc>
          <w:tcPr>
            <w:tcW w:type="dxa" w:w="3230"/>
          </w:tcPr>
          <w:p>
            <w:r>
              <w:rPr>
                <w:rFonts w:ascii="Times New Roman" w:hAnsi="Times New Roman"/>
                <w:sz w:val="22"/>
              </w:rPr>
              <w:t>Trung-dài hạn (3-12 tháng)</w:t>
            </w:r>
          </w:p>
        </w:tc>
        <w:tc>
          <w:tcPr>
            <w:tcW w:type="dxa" w:w="3230"/>
          </w:tcPr>
          <w:p>
            <w:r>
              <w:rPr>
                <w:rFonts w:ascii="Times New Roman" w:hAnsi="Times New Roman"/>
                <w:sz w:val="22"/>
              </w:rPr>
              <w:t>Ngắn hạn (2 tuần — Schmidt-Persson 2024)</w:t>
            </w:r>
          </w:p>
        </w:tc>
      </w:tr>
      <w:tr>
        <w:tc>
          <w:tcPr>
            <w:tcW w:type="dxa" w:w="3230"/>
          </w:tcPr>
          <w:p>
            <w:r>
              <w:rPr>
                <w:rFonts w:ascii="Times New Roman" w:hAnsi="Times New Roman"/>
                <w:sz w:val="22"/>
              </w:rPr>
              <w:t>Chi phí can thiệp</w:t>
            </w:r>
          </w:p>
        </w:tc>
        <w:tc>
          <w:tcPr>
            <w:tcW w:type="dxa" w:w="3230"/>
          </w:tcPr>
          <w:p>
            <w:r>
              <w:rPr>
                <w:rFonts w:ascii="Times New Roman" w:hAnsi="Times New Roman"/>
                <w:sz w:val="22"/>
              </w:rPr>
              <w:t>Cao (cần tập huấn cha mẹ)</w:t>
            </w:r>
          </w:p>
        </w:tc>
        <w:tc>
          <w:tcPr>
            <w:tcW w:type="dxa" w:w="3230"/>
          </w:tcPr>
          <w:p>
            <w:r>
              <w:rPr>
                <w:rFonts w:ascii="Times New Roman" w:hAnsi="Times New Roman"/>
                <w:sz w:val="22"/>
              </w:rPr>
              <w:t>Thấp-vừa (giáo dục digital wellbeing)</w:t>
            </w:r>
          </w:p>
        </w:tc>
      </w:tr>
      <w:tr>
        <w:tc>
          <w:tcPr>
            <w:tcW w:type="dxa" w:w="3230"/>
          </w:tcPr>
          <w:p>
            <w:r>
              <w:rPr>
                <w:rFonts w:ascii="Times New Roman" w:hAnsi="Times New Roman"/>
                <w:sz w:val="22"/>
              </w:rPr>
              <w:t>Khả năng nhân rộng</w:t>
            </w:r>
          </w:p>
        </w:tc>
        <w:tc>
          <w:tcPr>
            <w:tcW w:type="dxa" w:w="3230"/>
          </w:tcPr>
          <w:p>
            <w:r>
              <w:rPr>
                <w:rFonts w:ascii="Times New Roman" w:hAnsi="Times New Roman"/>
                <w:sz w:val="22"/>
              </w:rPr>
              <w:t>Khó (cần thay đổi văn hóa gia đình)</w:t>
            </w:r>
          </w:p>
        </w:tc>
        <w:tc>
          <w:tcPr>
            <w:tcW w:type="dxa" w:w="3230"/>
          </w:tcPr>
          <w:p>
            <w:r>
              <w:rPr>
                <w:rFonts w:ascii="Times New Roman" w:hAnsi="Times New Roman"/>
                <w:sz w:val="22"/>
              </w:rPr>
              <w:t>Dễ (qua trường học)</w:t>
            </w:r>
          </w:p>
        </w:tc>
      </w:tr>
      <w:tr>
        <w:tc>
          <w:tcPr>
            <w:tcW w:type="dxa" w:w="3230"/>
          </w:tcPr>
          <w:p>
            <w:r>
              <w:rPr>
                <w:rFonts w:ascii="Times New Roman" w:hAnsi="Times New Roman"/>
                <w:sz w:val="22"/>
              </w:rPr>
              <w:t>Khuyến nghị ưu tiên</w:t>
            </w:r>
          </w:p>
        </w:tc>
        <w:tc>
          <w:tcPr>
            <w:tcW w:type="dxa" w:w="3230"/>
          </w:tcPr>
          <w:p>
            <w:r>
              <w:rPr>
                <w:rFonts w:ascii="Times New Roman" w:hAnsi="Times New Roman"/>
                <w:sz w:val="22"/>
              </w:rPr>
              <w:t>Tầng 2-3 (selective + indicated)</w:t>
            </w:r>
          </w:p>
        </w:tc>
        <w:tc>
          <w:tcPr>
            <w:tcW w:type="dxa" w:w="3230"/>
          </w:tcPr>
          <w:p>
            <w:r>
              <w:rPr>
                <w:rFonts w:ascii="Times New Roman" w:hAnsi="Times New Roman"/>
                <w:sz w:val="22"/>
              </w:rPr>
              <w:t>Tầng 1-2 (universal + selective)</w:t>
            </w:r>
          </w:p>
        </w:tc>
      </w:tr>
    </w:tbl>
    <w:p>
      <w:r>
        <w:rPr>
          <w:b w:val="0"/>
          <w:i w:val="0"/>
          <w:color w:val="000000"/>
          <w:sz w:val="24"/>
        </w:rPr>
      </w:r>
    </w:p>
    <w:p>
      <w:r>
        <w:rPr>
          <w:b w:val="0"/>
          <w:i w:val="0"/>
          <w:color w:val="000000"/>
          <w:sz w:val="24"/>
        </w:rPr>
        <w:t>Phát hiện đáng lưu ý — hai yếu tố KHÔNG độc lập với nhau. Khi quan hệ cha mẹ–con bị căng thẳng, học sinh thường rút vào thiết bị điện tử như một cách trốn thoát hoặc tìm hỗ trợ thay thế (peer online). Phù hợp với mô hình của Pascoe và cộng sự (2020) về tương tác giữa các yếu tố gia đình và hành vi sức khỏe. Đề xuất nghiên cứu tiếp theo — kiểm chứng hiệu ứng trung gian của thiết bị điện tử trong mối quan hệ giữa mâu thuẫn gia đình và rối loạn lo âu.</w:t>
      </w:r>
    </w:p>
    <w:p>
      <w:r>
        <w:rPr>
          <w:b/>
          <w:color w:val="0070C0"/>
          <w:sz w:val="28"/>
        </w:rPr>
        <w:t>5. CÂU TRẢ LỜI</w:t>
      </w:r>
    </w:p>
    <w:p>
      <w:r>
        <w:rPr>
          <w:b/>
          <w:color w:val="0070C0"/>
          <w:sz w:val="24"/>
        </w:rPr>
        <w:t>Tóm gọn về hai yếu tố:</w:t>
      </w:r>
    </w:p>
    <w:p>
      <w:pPr>
        <w:pStyle w:val="ListBullet"/>
      </w:pPr>
      <w:r>
        <w:rPr>
          <w:color w:val="0070C0"/>
          <w:sz w:val="24"/>
        </w:rPr>
        <w:t>Yếu tố 1 — MỐI QUAN HỆ CHA MẸ–CON (β = 0,272; p &lt; 0,001) là yếu tố ảnh hưởng MẠNH NHẤT trong nghiên cứu, cường độ "trung bình" theo Cohen (1988). Hướng β dương gợi ý biến đo MÂU THUẪN/CĂNG THẲNG, không phải chất lượng tích cực. Phù hợp với phát hiện của Phạm và cộng sự (2024) tại Huế (β = -0,40 cho chăm sóc cảm xúc) và Qiu và cộng sự (2022) tại Trung Quốc (OR = 2,01 cho nuôi dạy tiêu cực; OR = 0,30 cho nuôi dạy tích cực).</w:t>
      </w:r>
    </w:p>
    <w:p>
      <w:pPr>
        <w:pStyle w:val="ListBullet"/>
      </w:pPr>
      <w:r>
        <w:rPr>
          <w:color w:val="0070C0"/>
          <w:sz w:val="24"/>
        </w:rPr>
        <w:t>Yếu tố 2 — SỬ DỤNG THIẾT BỊ ĐIỆN TỬ (β = 0,176; p &lt; 0,001) là yếu tố nguy cơ MẠNH THỨ HAI, cường độ "yếu–trung bình". Cường độ này NGANG HÀNG với phát hiện của Brunborg và cộng sự (2025) tại Na Uy trên 979.043 học sinh (β = 0,18 cho nữ) — gợi ý tính phổ quát xuyên văn hóa.</w:t>
      </w:r>
    </w:p>
    <w:p>
      <w:r>
        <w:rPr>
          <w:b/>
          <w:color w:val="0070C0"/>
          <w:sz w:val="24"/>
        </w:rPr>
        <w:t>Ba điểm yếu phương pháp đáng phản biện:</w:t>
      </w:r>
    </w:p>
    <w:p>
      <w:pPr>
        <w:pStyle w:val="ListBullet"/>
      </w:pPr>
      <w:r>
        <w:rPr>
          <w:color w:val="0070C0"/>
          <w:sz w:val="24"/>
        </w:rPr>
        <w:t>Bài KHÔNG nêu thang đo cụ thể cho "mối quan hệ cha mẹ–con" — không rõ là Parental Bonding Instrument, FAD-12, hay tự thiết kế. Hướng β dương cần được làm rõ trong báo cáo.</w:t>
      </w:r>
    </w:p>
    <w:p>
      <w:pPr>
        <w:pStyle w:val="ListBullet"/>
      </w:pPr>
      <w:r>
        <w:rPr>
          <w:color w:val="0070C0"/>
          <w:sz w:val="24"/>
        </w:rPr>
        <w:t>Bài CHỈ đo TẦN SUẤT thời gian thiết bị, KHÔNG đo NỘI DUNG hay LOẠI ứng dụng. Schmidt-Persson và cộng sự (2024) cho thấy chỉ "màn hình giải trí" có hiệu ứng tâm lý, không phải tổng thời gian.</w:t>
      </w:r>
    </w:p>
    <w:p>
      <w:pPr>
        <w:pStyle w:val="ListBullet"/>
      </w:pPr>
      <w:r>
        <w:rPr>
          <w:color w:val="0070C0"/>
          <w:sz w:val="24"/>
        </w:rPr>
        <w:t>Thiết kế cắt ngang trên HAI MẪU KHÁC NHAU không cho phép kết luận NHÂN QUẢ — chỉ là tương quan. Cần nghiên cứu thuần tập (longitudinal) theo cùng một nhóm học sinh để xác lập quan hệ nhân quả.</w:t>
      </w:r>
    </w:p>
    <w:p>
      <w:r>
        <w:rPr>
          <w:b/>
          <w:color w:val="0070C0"/>
          <w:sz w:val="24"/>
        </w:rPr>
        <w:t>Hàm ý can thiệp:</w:t>
      </w:r>
    </w:p>
    <w:p>
      <w:pPr>
        <w:pStyle w:val="ListBullet"/>
      </w:pPr>
      <w:r>
        <w:rPr>
          <w:color w:val="0070C0"/>
          <w:sz w:val="24"/>
        </w:rPr>
        <w:t>Quan hệ cha mẹ–con là MỤC TIÊU ƯU TIÊN — cần chương trình tập huấn phụ huynh (parenting training) ở Tầng 2-3 trong mô hình stepped-care của Matsumoto và cộng sự (2024). Phù hợp với phát hiện của Cai và cộng sự (2025) — can thiệp resilience kết hợp tập huấn cha mẹ tăng hiệu quả tổng thể.</w:t>
      </w:r>
    </w:p>
    <w:p>
      <w:pPr>
        <w:pStyle w:val="ListBullet"/>
      </w:pPr>
      <w:r>
        <w:rPr>
          <w:color w:val="0070C0"/>
          <w:sz w:val="24"/>
        </w:rPr>
        <w:t>Thiết bị điện tử nên can thiệp ở Tầng 1 (universal) — giáo dục digital wellbeing toàn trường, kết hợp Tầng 2 hạn chế thời gian màn hình giải trí cho nhóm có yếu tố nguy cơ. Cần ĐỒNG HÀNH của phụ huynh để hiệu quả bền vững.</w:t>
      </w:r>
    </w:p>
    <w:p>
      <w:r>
        <w:rPr>
          <w:b/>
          <w:color w:val="0070C0"/>
          <w:sz w:val="24"/>
        </w:rPr>
        <w:t>Khuyến nghị cách trích vào báo cáo CTH:</w:t>
      </w:r>
    </w:p>
    <w:p>
      <w:r>
        <w:rPr>
          <w:b w:val="0"/>
          <w:color w:val="0070C0"/>
          <w:sz w:val="24"/>
        </w:rPr>
        <w:t>"Hoàng Trung Học và cộng sự (2025) trên 8.389 thanh thiếu niên 6 tỉnh Việt Nam xác định mối quan hệ cha mẹ–con (β = 0,272) và sử dụng thiết bị điện tử (β = 0,176) là hai yếu tố nguy cơ mạnh nhất ảnh hưởng đến mức độ trầm cảm, lo âu, căng thẳng (DAS). Cường độ tương đương với các phát hiện quốc tế (Brunborg và cộng sự, 2025; Phạm và cộng sự, 2024) gợi ý hai yếu tố này là MỤC TIÊU CAN THIỆP ƯU TIÊN trong chương trình sức khỏe tâm thần học đường tại Việt Nam, với hướng tiếp cận stepped-care theo mô hình của Matsumoto và cộng sự (2024)."</w:t>
      </w:r>
    </w:p>
    <w:p>
      <w:r>
        <w:rPr>
          <w:b/>
          <w:color w:val="1F497D"/>
          <w:sz w:val="28"/>
        </w:rPr>
        <w:t>6. Phụ lục — Tài liệu tham khảo</w:t>
      </w:r>
    </w:p>
    <w:p>
      <w:r>
        <w:rPr>
          <w:b/>
          <w:i w:val="0"/>
          <w:color w:val="000000"/>
          <w:sz w:val="24"/>
        </w:rPr>
        <w:t>Tiếng Việt</w:t>
      </w:r>
    </w:p>
    <w:p>
      <w:r>
        <w:rPr>
          <w:b w:val="0"/>
          <w:i/>
          <w:color w:val="000000"/>
          <w:sz w:val="22"/>
        </w:rPr>
        <w:t>1. Hoàng Trung Học và cộng sự. (2025). Mức độ căng thẳng, lo âu và trầm cảm ở thanh thiếu niên trong và sau đại dịch COVID-19 tại Việt Nam: Nghiên cứu cắt ngang. Asian Journal of Public Research. [VN014 trong cơ sở dữ liệu dự án.]</w:t>
      </w:r>
    </w:p>
    <w:p>
      <w:r>
        <w:rPr>
          <w:b w:val="0"/>
          <w:i/>
          <w:color w:val="000000"/>
          <w:sz w:val="22"/>
        </w:rPr>
        <w:t>2. Phạm, V. T. và cộng sự. (2024). Mối liên hệ giữa hỗ trợ xã hội và sức khỏe tâm thần ở thanh thiếu niên tại Huế, Việt Nam. [VN003 trong cơ sở dữ liệu dự án.]</w:t>
      </w:r>
    </w:p>
    <w:p>
      <w:r>
        <w:rPr>
          <w:b w:val="0"/>
          <w:i/>
          <w:color w:val="000000"/>
          <w:sz w:val="22"/>
        </w:rPr>
        <w:t>3. UNICEF Việt Nam, Bộ Lao động – Thương binh và Xã hội, và Tổng cục Thống kê. (2022). Khảo sát Sức khỏe Tâm thần Vị thành niên Việt Nam (V-NAMHS 2022). Hà Nội. [VN002 trong cơ sở dữ liệu dự án.]</w:t>
      </w:r>
    </w:p>
    <w:p>
      <w:r>
        <w:rPr>
          <w:b/>
          <w:i w:val="0"/>
          <w:color w:val="000000"/>
          <w:sz w:val="24"/>
        </w:rPr>
        <w:t>Tiếng Anh</w:t>
      </w:r>
    </w:p>
    <w:p>
      <w:r>
        <w:rPr>
          <w:b w:val="0"/>
          <w:i/>
          <w:color w:val="000000"/>
          <w:sz w:val="22"/>
        </w:rPr>
        <w:t>4. Brunborg, G. S., Nilsen, S. A., Skogen, J. C., &amp; Bang, L. (2025). Possible explanations for the upward trend in mental distress among adolescents in Norway from 2011 to 2024. Social Science &amp; Medicine, 384, 118528. https://doi.org/10.1016/j.socscimed.2025.118528 [QT021 trong cơ sở dữ liệu dự án.]</w:t>
      </w:r>
    </w:p>
    <w:p>
      <w:r>
        <w:rPr>
          <w:b w:val="0"/>
          <w:i/>
          <w:color w:val="000000"/>
          <w:sz w:val="22"/>
        </w:rPr>
        <w:t>5. Cai, C., Mei, Z., Wang, Z., &amp; Luo, S. (2025). School-based interventions for resilience in children and adolescents: A systematic review and meta-analysis of randomized controlled trials. Frontiers in Psychiatry, 16, 1594658. [QT044 trong cơ sở dữ liệu dự án.]</w:t>
      </w:r>
    </w:p>
    <w:p>
      <w:r>
        <w:rPr>
          <w:b w:val="0"/>
          <w:i/>
          <w:color w:val="000000"/>
          <w:sz w:val="22"/>
        </w:rPr>
        <w:t>6. Chen, Z., et al. (2023). Bullying, sleep, and gaming disorder among Chinese adolescents in Western China. BMC Psychiatry, 23, 580. [QT007 trong cơ sở dữ liệu dự án.]</w:t>
      </w:r>
    </w:p>
    <w:p>
      <w:r>
        <w:rPr>
          <w:b w:val="0"/>
          <w:i/>
          <w:color w:val="000000"/>
          <w:sz w:val="22"/>
        </w:rPr>
        <w:t>7. Cohen, J. (1988). Statistical power analysis for the behavioral sciences (2nd ed.). Lawrence Erlbaum Associates.</w:t>
      </w:r>
    </w:p>
    <w:p>
      <w:r>
        <w:rPr>
          <w:b w:val="0"/>
          <w:i/>
          <w:color w:val="000000"/>
          <w:sz w:val="22"/>
        </w:rPr>
        <w:t>8. Epstein, N. B., Baldwin, L. M., &amp; Bishop, D. S. (1983). The McMaster Family Assessment Device. Journal of Marital and Family Therapy, 9(2), 171–180. https://doi.org/10.1111/j.1752-0606.1983.tb01497.x</w:t>
      </w:r>
    </w:p>
    <w:p>
      <w:r>
        <w:rPr>
          <w:b w:val="0"/>
          <w:i/>
          <w:color w:val="000000"/>
          <w:sz w:val="22"/>
        </w:rPr>
        <w:t>9. Lovibond, S. H., &amp; Lovibond, P. F. (1995). Manual for the Depression Anxiety Stress Scales (2nd ed.). Sydney: Psychology Foundation of Australia.</w:t>
      </w:r>
    </w:p>
    <w:p>
      <w:r>
        <w:rPr>
          <w:b w:val="0"/>
          <w:i/>
          <w:color w:val="000000"/>
          <w:sz w:val="22"/>
        </w:rPr>
        <w:t>10. Matsumoto, K., et al. (2024). Internet-based cognitive behavioral therapy for Japanese adolescents with anxiety and depression. JMIR Mental Health. [QT045 trong cơ sở dữ liệu dự án.]</w:t>
      </w:r>
    </w:p>
    <w:p>
      <w:r>
        <w:rPr>
          <w:b w:val="0"/>
          <w:i/>
          <w:color w:val="000000"/>
          <w:sz w:val="22"/>
        </w:rPr>
        <w:t>11. Parker, G., Tupling, H., &amp; Brown, L. B. (1979). A Parental Bonding Instrument. British Journal of Medical Psychology, 52(1), 1–10. https://doi.org/10.1111/j.2044-8341.1979.tb02487.x</w:t>
      </w:r>
    </w:p>
    <w:p>
      <w:r>
        <w:rPr>
          <w:b w:val="0"/>
          <w:i/>
          <w:color w:val="000000"/>
          <w:sz w:val="22"/>
        </w:rPr>
        <w:t>12. Pascoe, M. C., Hetrick, S. E., &amp; Parker, A. G. (2020). The impact of stress on students in secondary school and higher education. International Journal of Adolescence and Youth, 25(1), 104–112. https://doi.org/10.1080/02673843.2019.1596823 [QT067 trong cơ sở dữ liệu dự án.]</w:t>
      </w:r>
    </w:p>
    <w:p>
      <w:r>
        <w:rPr>
          <w:b w:val="0"/>
          <w:i/>
          <w:color w:val="000000"/>
          <w:sz w:val="22"/>
        </w:rPr>
        <w:t>13. Qiu, Z., Guo, Y., Wang, J., &amp; Zhang, H. (2022). Associations of parenting style and resilience with depression and anxiety among Chinese high school students. Frontiers in Public Health, 10, 989125. https://doi.org/10.3389/fpubh.2022.989125 [QT009 trong cơ sở dữ liệu dự án.]</w:t>
      </w:r>
    </w:p>
    <w:p>
      <w:r>
        <w:rPr>
          <w:b w:val="0"/>
          <w:i/>
          <w:color w:val="000000"/>
          <w:sz w:val="22"/>
        </w:rPr>
        <w:t>14. Schmidt-Persson, J., et al. (2024). Screen media use and mental health of children and adolescents: A secondary analysis of the SCREENS-Kids randomized clinical trial. JAMA Network Open, 7(1), e2354033. [QT033 trong cơ sở dữ liệu dự 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