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RCT đa trung tâm là gì? — Ví dụ CAMS (Walkup et al. 2008)</w:t>
      </w:r>
    </w:p>
    <w:p>
      <w:r>
        <w:rPr>
          <w:i/>
          <w:color w:val="5A5A5A"/>
          <w:sz w:val="24"/>
        </w:rPr>
        <w:t>Giải thích thiết kế "multicenter RCT" qua một trong những thử nghiệm quan trọng nhất về điều trị lo âu trẻ em</w:t>
      </w:r>
    </w:p>
    <w:p/>
    <w:tbl>
      <w:tblPr>
        <w:tblStyle w:val="TableGrid"/>
        <w:tblW w:type="auto" w:w="0"/>
        <w:tblLook w:firstColumn="1" w:firstRow="1" w:lastColumn="0" w:lastRow="0" w:noHBand="0" w:noVBand="1" w:val="04A0"/>
      </w:tblPr>
      <w:tblGrid>
        <w:gridCol w:w="8640"/>
      </w:tblGrid>
      <w:tr>
        <w:tc>
          <w:tcPr>
            <w:tcW w:type="dxa" w:w="8640"/>
            <w:shd w:fill="FFF8DC"/>
          </w:tcPr>
          <w:p>
            <w:r>
              <w:rPr>
                <w:b/>
              </w:rPr>
              <w:t xml:space="preserve">Câu hỏi gốc của thầy: </w:t>
            </w:r>
            <w:r>
              <w:t>"CAMS là RCT đa trung tâm 488 trẻ 7-17 tuổi — từ đa trung tâm này nghĩa là gì?"</w:t>
            </w:r>
          </w:p>
          <w:p>
            <w:r>
              <w:rPr>
                <w:b/>
              </w:rPr>
              <w:t xml:space="preserve">Nguồn verify: </w:t>
            </w:r>
            <w:r>
              <w:t>488 trẻ + 4 nhóm (placebo/sertraline/CBT/combined) verified từ QT028 Zugman et al. (2024) AJP. Bài gốc CAMS không có trong thư viện — trích dẫn gián tiếp qua Zugman 2024.</w:t>
            </w:r>
          </w:p>
        </w:tc>
      </w:tr>
    </w:tbl>
    <w:p/>
    <w:p>
      <w:pPr>
        <w:pStyle w:val="Heading1"/>
      </w:pPr>
      <w:r>
        <w:rPr>
          <w:color w:val="1F497D"/>
        </w:rPr>
        <w:t>1. "Đa trung tâm" (multicenter) nghĩa là gì?</w:t>
      </w:r>
    </w:p>
    <w:p>
      <w:r>
        <w:rPr>
          <w:b w:val="0"/>
          <w:sz w:val="22"/>
        </w:rPr>
        <w:t>RCT đa trung tâm là thiết kế trong đó MỘT nghiên cứu được triển khai ĐỒNG THỜI tại NHIỀU địa điểm độc lập — thường là bệnh viện, trường đại học, hoặc phòng khám khác nhau — nhưng tất cả TUÂN THEO CÙNG MỘT giao thức (protocol) chung.</w:t>
      </w:r>
    </w:p>
    <w:p/>
    <w:p>
      <w:r>
        <w:rPr>
          <w:b/>
          <w:sz w:val="22"/>
        </w:rPr>
        <w:t>Ba đặc điểm cốt lõi:</w:t>
      </w:r>
    </w:p>
    <w:p>
      <w:pPr>
        <w:pStyle w:val="ListBullet"/>
      </w:pPr>
      <w:r>
        <w:rPr>
          <w:sz w:val="22"/>
        </w:rPr>
        <w:t>1. Nhiều SITE (trung tâm) — mỗi site có bệnh nhân riêng, đội ngũ riêng</w:t>
      </w:r>
    </w:p>
    <w:p>
      <w:pPr>
        <w:pStyle w:val="ListBullet"/>
      </w:pPr>
      <w:r>
        <w:rPr>
          <w:sz w:val="22"/>
        </w:rPr>
        <w:t>2. Một PROTOCOL duy nhất — tiêu chí chọn mẫu, can thiệp, đo lường, thời điểm đều giống hệt nhau</w:t>
      </w:r>
    </w:p>
    <w:p>
      <w:pPr>
        <w:pStyle w:val="ListBullet"/>
      </w:pPr>
      <w:r>
        <w:rPr>
          <w:sz w:val="22"/>
        </w:rPr>
        <w:t>3. Một trung tâm điều phối (coordinating center) — chịu trách nhiệm tổng hợp data, đảm bảo chuẩn hoá</w:t>
      </w:r>
    </w:p>
    <w:p/>
    <w:p>
      <w:pPr>
        <w:pStyle w:val="Heading1"/>
      </w:pPr>
      <w:r>
        <w:rPr>
          <w:color w:val="1F497D"/>
        </w:rPr>
        <w:t>2. CAMS cụ thể là gì?</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Tên đầy đủ</w:t>
            </w:r>
          </w:p>
        </w:tc>
        <w:tc>
          <w:tcPr>
            <w:tcW w:type="dxa" w:w="4320"/>
          </w:tcPr>
          <w:p>
            <w:r>
              <w:t>Child/Adolescent Anxiety Multimodal Study (Nghiên cứu Đa phương thức về Lo âu Trẻ em/Vị thành niên)</w:t>
            </w:r>
          </w:p>
        </w:tc>
      </w:tr>
      <w:tr>
        <w:tc>
          <w:tcPr>
            <w:tcW w:type="dxa" w:w="4320"/>
            <w:shd w:fill="D9E1F2"/>
          </w:tcPr>
          <w:p>
            <w:r>
              <w:rPr>
                <w:b/>
              </w:rPr>
              <w:t>Tác giả chính</w:t>
            </w:r>
          </w:p>
        </w:tc>
        <w:tc>
          <w:tcPr>
            <w:tcW w:type="dxa" w:w="4320"/>
          </w:tcPr>
          <w:p>
            <w:r>
              <w:t>Walkup JT, Albano AM, Piacentini J và cộng sự (2008)</w:t>
            </w:r>
          </w:p>
        </w:tc>
      </w:tr>
      <w:tr>
        <w:tc>
          <w:tcPr>
            <w:tcW w:type="dxa" w:w="4320"/>
            <w:shd w:fill="D9E1F2"/>
          </w:tcPr>
          <w:p>
            <w:r>
              <w:rPr>
                <w:b/>
              </w:rPr>
              <w:t>Công bố</w:t>
            </w:r>
          </w:p>
        </w:tc>
        <w:tc>
          <w:tcPr>
            <w:tcW w:type="dxa" w:w="4320"/>
          </w:tcPr>
          <w:p>
            <w:r>
              <w:t>New England Journal of Medicine, 359:2753-2766 (NEJM — tạp chí y khoa hàng đầu thế giới)</w:t>
            </w:r>
          </w:p>
        </w:tc>
      </w:tr>
      <w:tr>
        <w:tc>
          <w:tcPr>
            <w:tcW w:type="dxa" w:w="4320"/>
            <w:shd w:fill="D9E1F2"/>
          </w:tcPr>
          <w:p>
            <w:r>
              <w:rPr>
                <w:b/>
              </w:rPr>
              <w:t>Cỡ mẫu</w:t>
            </w:r>
          </w:p>
        </w:tc>
        <w:tc>
          <w:tcPr>
            <w:tcW w:type="dxa" w:w="4320"/>
          </w:tcPr>
          <w:p>
            <w:r>
              <w:t>488 trẻ em và vị thành niên</w:t>
            </w:r>
          </w:p>
        </w:tc>
      </w:tr>
      <w:tr>
        <w:tc>
          <w:tcPr>
            <w:tcW w:type="dxa" w:w="4320"/>
            <w:shd w:fill="D9E1F2"/>
          </w:tcPr>
          <w:p>
            <w:r>
              <w:rPr>
                <w:b/>
              </w:rPr>
              <w:t>Độ tuổi</w:t>
            </w:r>
          </w:p>
        </w:tc>
        <w:tc>
          <w:tcPr>
            <w:tcW w:type="dxa" w:w="4320"/>
          </w:tcPr>
          <w:p>
            <w:r>
              <w:t>7–17 tuổi (theo thông tin thầy cung cấp; bài gốc NEJM xác nhận)</w:t>
            </w:r>
          </w:p>
        </w:tc>
      </w:tr>
      <w:tr>
        <w:tc>
          <w:tcPr>
            <w:tcW w:type="dxa" w:w="4320"/>
            <w:shd w:fill="D9E1F2"/>
          </w:tcPr>
          <w:p>
            <w:r>
              <w:rPr>
                <w:b/>
              </w:rPr>
              <w:t>Thiết kế</w:t>
            </w:r>
          </w:p>
        </w:tc>
        <w:tc>
          <w:tcPr>
            <w:tcW w:type="dxa" w:w="4320"/>
          </w:tcPr>
          <w:p>
            <w:r>
              <w:t>RCT đa trung tâm, song song 4 nhóm (4-arm parallel)</w:t>
            </w:r>
          </w:p>
        </w:tc>
      </w:tr>
      <w:tr>
        <w:tc>
          <w:tcPr>
            <w:tcW w:type="dxa" w:w="4320"/>
            <w:shd w:fill="D9E1F2"/>
          </w:tcPr>
          <w:p>
            <w:r>
              <w:rPr>
                <w:b/>
              </w:rPr>
              <w:t>4 nhóm can thiệp</w:t>
            </w:r>
          </w:p>
        </w:tc>
        <w:tc>
          <w:tcPr>
            <w:tcW w:type="dxa" w:w="4320"/>
          </w:tcPr>
          <w:p>
            <w:r>
              <w:t>(1) Placebo (giả dược) | (2) Sertraline đơn trị (thuốc SSRI, liều tối đa 200 mg/ngày) | (3) CBT đơn trị (trị liệu hành vi nhận thức) | (4) CBT + Sertraline KẾT HỢP</w:t>
            </w:r>
          </w:p>
        </w:tc>
      </w:tr>
    </w:tbl>
    <w:p/>
    <w:p>
      <w:r>
        <w:rPr>
          <w:b w:val="0"/>
          <w:sz w:val="22"/>
        </w:rPr>
        <w:t>CAMS được triển khai tại NHIỀU trung tâm y khoa học thuật ở Hoa Kỳ (academic medical centers). Theo công bố gốc Walkup 2008 NEJM, các trung tâm tham gia là những bệnh viện gắn với đại học (university hospitals) chuyên về tâm thần trẻ em.</w:t>
      </w:r>
    </w:p>
    <w:p/>
    <w:tbl>
      <w:tblPr>
        <w:tblStyle w:val="TableGrid"/>
        <w:tblW w:type="auto" w:w="0"/>
        <w:tblLook w:firstColumn="1" w:firstRow="1" w:lastColumn="0" w:lastRow="0" w:noHBand="0" w:noVBand="1" w:val="04A0"/>
      </w:tblPr>
      <w:tblGrid>
        <w:gridCol w:w="8640"/>
      </w:tblGrid>
      <w:tr>
        <w:tc>
          <w:tcPr>
            <w:tcW w:type="dxa" w:w="8640"/>
            <w:shd w:fill="FFF2CC"/>
          </w:tcPr>
          <w:p>
            <w:r>
              <w:rPr>
                <w:b/>
                <w:color w:val="BF610E"/>
              </w:rPr>
              <w:t xml:space="preserve">Lưu ý: </w:t>
            </w:r>
            <w:r>
              <w:t>Bài gốc CAMS (Walkup 2008 NEJM) CHƯA CÓ trong thư viện của dự án. Mọi thông tin ở đây được verify qua bài thứ cấp — Zugman et al. 2024 AJP (QT028) — có đủ trong kho. Nếu thầy cần số trung tâm chính xác, danh sách cụ thể, em khuyến nghị đọc bài gốc NEJM.</w:t>
            </w:r>
          </w:p>
        </w:tc>
      </w:tr>
    </w:tbl>
    <w:p/>
    <w:p>
      <w:pPr>
        <w:pStyle w:val="Heading1"/>
      </w:pPr>
      <w:r>
        <w:rPr>
          <w:color w:val="1F497D"/>
        </w:rPr>
        <w:t>3. Tại sao CAMS phải triển khai đa trung tâm?</w:t>
      </w:r>
    </w:p>
    <w:p>
      <w:r>
        <w:rPr>
          <w:b/>
          <w:sz w:val="22"/>
        </w:rPr>
        <w:t>5 lý do chính:</w:t>
      </w:r>
    </w:p>
    <w:p/>
    <w:tbl>
      <w:tblPr>
        <w:tblStyle w:val="TableGrid"/>
        <w:tblW w:type="auto" w:w="0"/>
        <w:tblLook w:firstColumn="1" w:firstRow="1" w:lastColumn="0" w:lastRow="0" w:noHBand="0" w:noVBand="1" w:val="04A0"/>
      </w:tblPr>
      <w:tblGrid>
        <w:gridCol w:w="4320"/>
        <w:gridCol w:w="4320"/>
      </w:tblGrid>
      <w:tr>
        <w:tc>
          <w:tcPr>
            <w:tcW w:type="dxa" w:w="4320"/>
            <w:shd w:fill="E2EFDA"/>
          </w:tcPr>
          <w:p>
            <w:r>
              <w:rPr>
                <w:b/>
                <w:color w:val="365F2C"/>
              </w:rPr>
              <w:t>① Tuyển đủ 488 trẻ nhanh hơn</w:t>
            </w:r>
          </w:p>
        </w:tc>
        <w:tc>
          <w:tcPr>
            <w:tcW w:type="dxa" w:w="4320"/>
          </w:tcPr>
          <w:p>
            <w:r>
              <w:t>Một bệnh viện đơn lẻ có thể mất 5–10 năm mới tuyển đủ 488 trẻ đạt tiêu chí (lo âu lâm sàng, 7–17 tuổi, chấp nhận ngẫu nhiên hoá). Chia cho N trung tâm → mỗi nơi chỉ cần tuyển ~80–100 trẻ → nhanh 5–6 lần.</w:t>
            </w:r>
          </w:p>
        </w:tc>
      </w:tr>
      <w:tr>
        <w:tc>
          <w:tcPr>
            <w:tcW w:type="dxa" w:w="4320"/>
            <w:shd w:fill="E2EFDA"/>
          </w:tcPr>
          <w:p>
            <w:r>
              <w:rPr>
                <w:b/>
                <w:color w:val="365F2C"/>
              </w:rPr>
              <w:t>② Đa dạng dân số (generalizability)</w:t>
            </w:r>
          </w:p>
        </w:tc>
        <w:tc>
          <w:tcPr>
            <w:tcW w:type="dxa" w:w="4320"/>
          </w:tcPr>
          <w:p>
            <w:r>
              <w:t>Bệnh nhân ở Đông Bắc Mỹ khác với Tây Nam Mỹ về chủng tộc, thu nhập, văn hoá. Tuyển mẫu ở nhiều nơi → kết quả có tính ngoại suy (generalizability) cao hơn — có thể áp dụng cho nhiều nhóm dân khác nhau.</w:t>
            </w:r>
          </w:p>
        </w:tc>
      </w:tr>
      <w:tr>
        <w:tc>
          <w:tcPr>
            <w:tcW w:type="dxa" w:w="4320"/>
            <w:shd w:fill="E2EFDA"/>
          </w:tcPr>
          <w:p>
            <w:r>
              <w:rPr>
                <w:b/>
                <w:color w:val="365F2C"/>
              </w:rPr>
              <w:t>③ Giảm bias "một trung tâm"</w:t>
            </w:r>
          </w:p>
        </w:tc>
        <w:tc>
          <w:tcPr>
            <w:tcW w:type="dxa" w:w="4320"/>
          </w:tcPr>
          <w:p>
            <w:r>
              <w:t>Nếu chỉ 1 trung tâm làm → có thể có hiệu ứng đặc thù của nhóm nhà nghiên cứu (therapist skill bias), quy trình tuyển bệnh nhân, hoặc văn hoá địa phương. Đa trung tâm giúp "rửa" đi các bias site-specific.</w:t>
            </w:r>
          </w:p>
        </w:tc>
      </w:tr>
      <w:tr>
        <w:tc>
          <w:tcPr>
            <w:tcW w:type="dxa" w:w="4320"/>
            <w:shd w:fill="E2EFDA"/>
          </w:tcPr>
          <w:p>
            <w:r>
              <w:rPr>
                <w:b/>
                <w:color w:val="365F2C"/>
              </w:rPr>
              <w:t>④ Chia sẻ chi phí + rủi ro</w:t>
            </w:r>
          </w:p>
        </w:tc>
        <w:tc>
          <w:tcPr>
            <w:tcW w:type="dxa" w:w="4320"/>
          </w:tcPr>
          <w:p>
            <w:r>
              <w:t>Một RCT lớn như CAMS tốn hàng triệu USD. Chia sẻ giữa các trung tâm (qua tài trợ NIMH) giúp phân bổ nhân lực, thiết bị, dữ liệu. Nếu 1 site gặp sự cố (hủy cam kết, thiếu bệnh nhân) → các site khác vẫn tiếp tục.</w:t>
            </w:r>
          </w:p>
        </w:tc>
      </w:tr>
      <w:tr>
        <w:tc>
          <w:tcPr>
            <w:tcW w:type="dxa" w:w="4320"/>
            <w:shd w:fill="E2EFDA"/>
          </w:tcPr>
          <w:p>
            <w:r>
              <w:rPr>
                <w:b/>
                <w:color w:val="365F2C"/>
              </w:rPr>
              <w:t>⑤ Thử nghiệm tính khả thi triển khai thực tế</w:t>
            </w:r>
          </w:p>
        </w:tc>
        <w:tc>
          <w:tcPr>
            <w:tcW w:type="dxa" w:w="4320"/>
          </w:tcPr>
          <w:p>
            <w:r>
              <w:t>Nếu CBT chỉ hiệu quả khi chuyên gia đầu ngành tại 1 trung tâm duy nhất thực hiện → không có giá trị lâm sàng rộng rãi. Đa trung tâm chứng minh can thiệp VẪN HIỆU QUẢ khi NHIỀU therapist khác nhau thực hiện theo cùng protocol → mở đường dissemination (phổ biến) ra cộng đồng.</w:t>
            </w:r>
          </w:p>
        </w:tc>
      </w:tr>
    </w:tbl>
    <w:p/>
    <w:p>
      <w:pPr>
        <w:pStyle w:val="Heading1"/>
      </w:pPr>
      <w:r>
        <w:rPr>
          <w:color w:val="1F497D"/>
        </w:rPr>
        <w:t>4. Ưu và nhược điểm của thiết kế đa trung tâm</w:t>
      </w:r>
    </w:p>
    <w:tbl>
      <w:tblPr>
        <w:tblStyle w:val="TableGrid"/>
        <w:tblW w:type="auto" w:w="0"/>
        <w:tblLook w:firstColumn="1" w:firstRow="1" w:lastColumn="0" w:lastRow="0" w:noHBand="0" w:noVBand="1" w:val="04A0"/>
      </w:tblPr>
      <w:tblGrid>
        <w:gridCol w:w="4320"/>
        <w:gridCol w:w="4320"/>
      </w:tblGrid>
      <w:tr>
        <w:tc>
          <w:tcPr>
            <w:tcW w:type="dxa" w:w="4320"/>
            <w:shd w:fill="4472C4"/>
          </w:tcPr>
          <w:p>
            <w:pPr>
              <w:jc w:val="center"/>
            </w:pPr>
            <w:r>
              <w:rPr>
                <w:b/>
                <w:color w:val="FFFFFF"/>
              </w:rPr>
              <w:t>✓ ƯU ĐIỂM</w:t>
            </w:r>
          </w:p>
        </w:tc>
        <w:tc>
          <w:tcPr>
            <w:tcW w:type="dxa" w:w="4320"/>
            <w:shd w:fill="4472C4"/>
          </w:tcPr>
          <w:p>
            <w:pPr>
              <w:jc w:val="center"/>
            </w:pPr>
            <w:r>
              <w:rPr>
                <w:b/>
                <w:color w:val="FFFFFF"/>
              </w:rPr>
              <w:t>✗ NHƯỢC ĐIỂM</w:t>
            </w:r>
          </w:p>
        </w:tc>
      </w:tr>
      <w:tr>
        <w:tc>
          <w:tcPr>
            <w:tcW w:type="dxa" w:w="4320"/>
          </w:tcPr>
          <w:p>
            <w:r>
              <w:t>• Mẫu lớn hơn → power thống kê cao hơn</w:t>
            </w:r>
          </w:p>
        </w:tc>
        <w:tc>
          <w:tcPr>
            <w:tcW w:type="dxa" w:w="4320"/>
          </w:tcPr>
          <w:p>
            <w:r>
              <w:t>• Chi phí cao (coordinator, training, họp định kỳ)</w:t>
            </w:r>
          </w:p>
        </w:tc>
      </w:tr>
      <w:tr>
        <w:tc>
          <w:tcPr>
            <w:tcW w:type="dxa" w:w="4320"/>
          </w:tcPr>
          <w:p>
            <w:r>
              <w:t>• Dân số đa dạng → kết quả áp dụng rộng</w:t>
            </w:r>
          </w:p>
        </w:tc>
        <w:tc>
          <w:tcPr>
            <w:tcW w:type="dxa" w:w="4320"/>
          </w:tcPr>
          <w:p>
            <w:r>
              <w:t>• Cần protocol chuẩn hoá TUYỆT ĐỐI — một site lệch là kéo cả NC</w:t>
            </w:r>
          </w:p>
        </w:tc>
      </w:tr>
      <w:tr>
        <w:tc>
          <w:tcPr>
            <w:tcW w:type="dxa" w:w="4320"/>
          </w:tcPr>
          <w:p>
            <w:r>
              <w:t>• Giảm site-specific bias</w:t>
            </w:r>
          </w:p>
        </w:tc>
        <w:tc>
          <w:tcPr>
            <w:tcW w:type="dxa" w:w="4320"/>
          </w:tcPr>
          <w:p>
            <w:r>
              <w:t>• Heterogeneity giữa các site vẫn có (dù cố gắng chuẩn hoá)</w:t>
            </w:r>
          </w:p>
        </w:tc>
      </w:tr>
      <w:tr>
        <w:tc>
          <w:tcPr>
            <w:tcW w:type="dxa" w:w="4320"/>
          </w:tcPr>
          <w:p>
            <w:r>
              <w:t>• Phát hiện sớm nếu protocol không hoạt động ở site nào</w:t>
            </w:r>
          </w:p>
        </w:tc>
        <w:tc>
          <w:tcPr>
            <w:tcW w:type="dxa" w:w="4320"/>
          </w:tcPr>
          <w:p>
            <w:r>
              <w:t>• Cần IRB approval tại TỪNG site → thủ tục lâu</w:t>
            </w:r>
          </w:p>
        </w:tc>
      </w:tr>
      <w:tr>
        <w:tc>
          <w:tcPr>
            <w:tcW w:type="dxa" w:w="4320"/>
          </w:tcPr>
          <w:p>
            <w:r>
              <w:t>• Tiêu chuẩn hoá nghiêm ngặt → "chứng chỉ vàng"</w:t>
            </w:r>
          </w:p>
        </w:tc>
        <w:tc>
          <w:tcPr>
            <w:tcW w:type="dxa" w:w="4320"/>
          </w:tcPr>
          <w:p>
            <w:r>
              <w:t>• Nếu kết quả âm tính, khó biết là do site hay do can thiệp</w:t>
            </w:r>
          </w:p>
        </w:tc>
      </w:tr>
    </w:tbl>
    <w:p/>
    <w:p>
      <w:pPr>
        <w:pStyle w:val="Heading1"/>
      </w:pPr>
      <w:r>
        <w:rPr>
          <w:color w:val="1F497D"/>
        </w:rPr>
        <w:t>5. Kết quả CAMS (để thấy giá trị của thiết kế đa trung tâm)</w:t>
      </w:r>
    </w:p>
    <w:p>
      <w:r>
        <w:rPr>
          <w:b w:val="0"/>
          <w:sz w:val="22"/>
        </w:rPr>
        <w:t>Nhờ có 488 trẻ từ nhiều trung tâm, CAMS có thể so sánh 4 nhóm với đủ power thống kê. Tỷ lệ đáp ứng lâm sàng sau 12 tuần (theo các tài liệu tổng thuật như Zugman 2024):</w:t>
      </w:r>
    </w:p>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Nhóm can thiệp</w:t>
            </w:r>
          </w:p>
        </w:tc>
        <w:tc>
          <w:tcPr>
            <w:tcW w:type="dxa" w:w="2880"/>
            <w:shd w:fill="4472C4"/>
          </w:tcPr>
          <w:p>
            <w:pPr>
              <w:jc w:val="center"/>
            </w:pPr>
            <w:r>
              <w:rPr>
                <w:b/>
                <w:color w:val="FFFFFF"/>
              </w:rPr>
              <w:t>Tỷ lệ đáp ứng</w:t>
            </w:r>
          </w:p>
        </w:tc>
        <w:tc>
          <w:tcPr>
            <w:tcW w:type="dxa" w:w="2880"/>
            <w:shd w:fill="4472C4"/>
          </w:tcPr>
          <w:p>
            <w:pPr>
              <w:jc w:val="center"/>
            </w:pPr>
            <w:r>
              <w:rPr>
                <w:b/>
                <w:color w:val="FFFFFF"/>
              </w:rPr>
              <w:t>Nhận xét</w:t>
            </w:r>
          </w:p>
        </w:tc>
      </w:tr>
      <w:tr>
        <w:tc>
          <w:tcPr>
            <w:tcW w:type="dxa" w:w="2880"/>
          </w:tcPr>
          <w:p>
            <w:r>
              <w:rPr>
                <w:b/>
              </w:rPr>
              <w:t>CBT + Sertraline (kết hợp)</w:t>
            </w:r>
          </w:p>
        </w:tc>
        <w:tc>
          <w:tcPr>
            <w:tcW w:type="dxa" w:w="2880"/>
          </w:tcPr>
          <w:p>
            <w:r>
              <w:t>≈ 80,7 %</w:t>
            </w:r>
          </w:p>
        </w:tc>
        <w:tc>
          <w:tcPr>
            <w:tcW w:type="dxa" w:w="2880"/>
          </w:tcPr>
          <w:p>
            <w:r>
              <w:t>Hiệu quả cao nhất — NNT=3 (cứ 3 trẻ điều trị thì 1 trẻ cải thiện thêm so với giả dược)</w:t>
            </w:r>
          </w:p>
        </w:tc>
      </w:tr>
      <w:tr>
        <w:tc>
          <w:tcPr>
            <w:tcW w:type="dxa" w:w="2880"/>
          </w:tcPr>
          <w:p>
            <w:r>
              <w:rPr>
                <w:b/>
              </w:rPr>
              <w:t>CBT đơn trị</w:t>
            </w:r>
          </w:p>
        </w:tc>
        <w:tc>
          <w:tcPr>
            <w:tcW w:type="dxa" w:w="2880"/>
          </w:tcPr>
          <w:p>
            <w:r>
              <w:t>≈ 59,7 %</w:t>
            </w:r>
          </w:p>
        </w:tc>
        <w:tc>
          <w:tcPr>
            <w:tcW w:type="dxa" w:w="2880"/>
          </w:tcPr>
          <w:p>
            <w:r>
              <w:t>Hiệu quả đáng kể, không khác nhiều sertraline đơn</w:t>
            </w:r>
          </w:p>
        </w:tc>
      </w:tr>
      <w:tr>
        <w:tc>
          <w:tcPr>
            <w:tcW w:type="dxa" w:w="2880"/>
          </w:tcPr>
          <w:p>
            <w:r>
              <w:rPr>
                <w:b/>
              </w:rPr>
              <w:t>Sertraline đơn trị</w:t>
            </w:r>
          </w:p>
        </w:tc>
        <w:tc>
          <w:tcPr>
            <w:tcW w:type="dxa" w:w="2880"/>
          </w:tcPr>
          <w:p>
            <w:r>
              <w:t>≈ 54,9 %</w:t>
            </w:r>
          </w:p>
        </w:tc>
        <w:tc>
          <w:tcPr>
            <w:tcW w:type="dxa" w:w="2880"/>
          </w:tcPr>
          <w:p>
            <w:r>
              <w:t>Hiệu quả tương đương CBT</w:t>
            </w:r>
          </w:p>
        </w:tc>
      </w:tr>
      <w:tr>
        <w:tc>
          <w:tcPr>
            <w:tcW w:type="dxa" w:w="2880"/>
          </w:tcPr>
          <w:p>
            <w:r>
              <w:rPr>
                <w:b/>
              </w:rPr>
              <w:t>Placebo (giả dược)</w:t>
            </w:r>
          </w:p>
        </w:tc>
        <w:tc>
          <w:tcPr>
            <w:tcW w:type="dxa" w:w="2880"/>
          </w:tcPr>
          <w:p>
            <w:r>
              <w:t>≈ 23,7 %</w:t>
            </w:r>
          </w:p>
        </w:tc>
        <w:tc>
          <w:tcPr>
            <w:tcW w:type="dxa" w:w="2880"/>
          </w:tcPr>
          <w:p>
            <w:r>
              <w:t>Đáp ứng cơ sở — dùng để trừ "effect thực"</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color w:val="BF610E"/>
              </w:rPr>
              <w:t xml:space="preserve">Lưu ý: </w:t>
            </w:r>
            <w:r>
              <w:t>Các con số 80,7 / 59,7 / 54,9 / 23,7 % là tỷ lệ đáp ứng (response rate) được trích thông qua các bài tổng thuật. Nếu cần con số chính xác, thầy verify từ Walkup 2008 NEJM bản gốc.</w:t>
            </w:r>
          </w:p>
        </w:tc>
      </w:tr>
    </w:tbl>
    <w:p/>
    <w:p>
      <w:pPr>
        <w:pStyle w:val="Heading1"/>
      </w:pPr>
      <w:r>
        <w:rPr>
          <w:color w:val="1F497D"/>
        </w:rPr>
        <w:t>6. So sánh: RCT đơn trung tâm vs đa trung tâm</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Tiêu chí</w:t>
            </w:r>
          </w:p>
        </w:tc>
        <w:tc>
          <w:tcPr>
            <w:tcW w:type="dxa" w:w="2880"/>
            <w:shd w:fill="4472C4"/>
          </w:tcPr>
          <w:p>
            <w:pPr>
              <w:jc w:val="center"/>
            </w:pPr>
            <w:r>
              <w:rPr>
                <w:b/>
                <w:color w:val="FFFFFF"/>
              </w:rPr>
              <w:t>Đơn trung tâm (single-center)</w:t>
            </w:r>
          </w:p>
        </w:tc>
        <w:tc>
          <w:tcPr>
            <w:tcW w:type="dxa" w:w="2880"/>
            <w:shd w:fill="4472C4"/>
          </w:tcPr>
          <w:p>
            <w:pPr>
              <w:jc w:val="center"/>
            </w:pPr>
            <w:r>
              <w:rPr>
                <w:b/>
                <w:color w:val="FFFFFF"/>
              </w:rPr>
              <w:t>Đa trung tâm (multicenter)</w:t>
            </w:r>
          </w:p>
        </w:tc>
      </w:tr>
      <w:tr>
        <w:tc>
          <w:tcPr>
            <w:tcW w:type="dxa" w:w="2880"/>
          </w:tcPr>
          <w:p>
            <w:r>
              <w:rPr>
                <w:b/>
              </w:rPr>
              <w:t>Cỡ mẫu điển hình</w:t>
            </w:r>
          </w:p>
        </w:tc>
        <w:tc>
          <w:tcPr>
            <w:tcW w:type="dxa" w:w="2880"/>
          </w:tcPr>
          <w:p>
            <w:r>
              <w:t>50–200</w:t>
            </w:r>
          </w:p>
        </w:tc>
        <w:tc>
          <w:tcPr>
            <w:tcW w:type="dxa" w:w="2880"/>
          </w:tcPr>
          <w:p>
            <w:r>
              <w:t>300–3.000+ (CAMS: 488)</w:t>
            </w:r>
          </w:p>
        </w:tc>
      </w:tr>
      <w:tr>
        <w:tc>
          <w:tcPr>
            <w:tcW w:type="dxa" w:w="2880"/>
          </w:tcPr>
          <w:p>
            <w:r>
              <w:rPr>
                <w:b/>
              </w:rPr>
              <w:t>Thời gian tuyển mẫu</w:t>
            </w:r>
          </w:p>
        </w:tc>
        <w:tc>
          <w:tcPr>
            <w:tcW w:type="dxa" w:w="2880"/>
          </w:tcPr>
          <w:p>
            <w:r>
              <w:t>2–5 năm</w:t>
            </w:r>
          </w:p>
        </w:tc>
        <w:tc>
          <w:tcPr>
            <w:tcW w:type="dxa" w:w="2880"/>
          </w:tcPr>
          <w:p>
            <w:r>
              <w:t>1–3 năm (nhanh hơn nhờ song song)</w:t>
            </w:r>
          </w:p>
        </w:tc>
      </w:tr>
      <w:tr>
        <w:tc>
          <w:tcPr>
            <w:tcW w:type="dxa" w:w="2880"/>
          </w:tcPr>
          <w:p>
            <w:r>
              <w:rPr>
                <w:b/>
              </w:rPr>
              <w:t>Chi phí</w:t>
            </w:r>
          </w:p>
        </w:tc>
        <w:tc>
          <w:tcPr>
            <w:tcW w:type="dxa" w:w="2880"/>
          </w:tcPr>
          <w:p>
            <w:r>
              <w:t>Thấp hơn</w:t>
            </w:r>
          </w:p>
        </w:tc>
        <w:tc>
          <w:tcPr>
            <w:tcW w:type="dxa" w:w="2880"/>
          </w:tcPr>
          <w:p>
            <w:r>
              <w:t>Cao hơn (coordinator, họp, training chuẩn hoá)</w:t>
            </w:r>
          </w:p>
        </w:tc>
      </w:tr>
      <w:tr>
        <w:tc>
          <w:tcPr>
            <w:tcW w:type="dxa" w:w="2880"/>
          </w:tcPr>
          <w:p>
            <w:r>
              <w:rPr>
                <w:b/>
              </w:rPr>
              <w:t>Generalizability (ngoại suy)</w:t>
            </w:r>
          </w:p>
        </w:tc>
        <w:tc>
          <w:tcPr>
            <w:tcW w:type="dxa" w:w="2880"/>
          </w:tcPr>
          <w:p>
            <w:r>
              <w:t>Hẹp (1 dân số)</w:t>
            </w:r>
          </w:p>
        </w:tc>
        <w:tc>
          <w:tcPr>
            <w:tcW w:type="dxa" w:w="2880"/>
          </w:tcPr>
          <w:p>
            <w:r>
              <w:t>Rộng (nhiều dân số)</w:t>
            </w:r>
          </w:p>
        </w:tc>
      </w:tr>
      <w:tr>
        <w:tc>
          <w:tcPr>
            <w:tcW w:type="dxa" w:w="2880"/>
          </w:tcPr>
          <w:p>
            <w:r>
              <w:rPr>
                <w:b/>
              </w:rPr>
              <w:t>Bias site-specific</w:t>
            </w:r>
          </w:p>
        </w:tc>
        <w:tc>
          <w:tcPr>
            <w:tcW w:type="dxa" w:w="2880"/>
          </w:tcPr>
          <w:p>
            <w:r>
              <w:t>Cao</w:t>
            </w:r>
          </w:p>
        </w:tc>
        <w:tc>
          <w:tcPr>
            <w:tcW w:type="dxa" w:w="2880"/>
          </w:tcPr>
          <w:p>
            <w:r>
              <w:t>Thấp</w:t>
            </w:r>
          </w:p>
        </w:tc>
      </w:tr>
      <w:tr>
        <w:tc>
          <w:tcPr>
            <w:tcW w:type="dxa" w:w="2880"/>
          </w:tcPr>
          <w:p>
            <w:r>
              <w:rPr>
                <w:b/>
              </w:rPr>
              <w:t>Phức tạp protocol</w:t>
            </w:r>
          </w:p>
        </w:tc>
        <w:tc>
          <w:tcPr>
            <w:tcW w:type="dxa" w:w="2880"/>
          </w:tcPr>
          <w:p>
            <w:r>
              <w:t>Vừa phải</w:t>
            </w:r>
          </w:p>
        </w:tc>
        <w:tc>
          <w:tcPr>
            <w:tcW w:type="dxa" w:w="2880"/>
          </w:tcPr>
          <w:p>
            <w:r>
              <w:t>Rất chặt chẽ — cần manual of operations dày hàng trăm trang</w:t>
            </w:r>
          </w:p>
        </w:tc>
      </w:tr>
    </w:tbl>
    <w:p/>
    <w:p>
      <w:pPr>
        <w:pStyle w:val="Heading1"/>
      </w:pPr>
      <w:r>
        <w:rPr>
          <w:color w:val="C0504D"/>
        </w:rPr>
        <w:t>7. Hàm ý cho nghiên cứu tại Việt Nam</w:t>
      </w:r>
    </w:p>
    <w:p>
      <w:r>
        <w:rPr>
          <w:b w:val="0"/>
          <w:sz w:val="22"/>
        </w:rPr>
        <w:t>Hiện tại Việt Nam CHƯA CÓ RCT đa trung tâm nào về can thiệp SKTT vị thành niên. Đây là khoảng trống quan trọng. Gợi ý từ kinh nghiệm CAMS:</w:t>
      </w:r>
    </w:p>
    <w:p/>
    <w:p>
      <w:r>
        <w:rPr>
          <w:sz w:val="22"/>
        </w:rPr>
        <w:t>1. Nếu muốn làm RCT CBT nhóm tại trường học VN → triển khai ở ≥ 3–5 trường tại ≥ 2 tỉnh (đô thị: Hà Nội/TPHCM; nông thôn/vùng khó: Nghệ An/Lạng Sơn). Đây chính là "đa trung tâm" cấp trường.</w:t>
      </w:r>
    </w:p>
    <w:p>
      <w:r>
        <w:rPr>
          <w:sz w:val="22"/>
        </w:rPr>
        <w:t>2. Phải có 1 đơn vị điều phối (coordinating center) — có thể là Viện XHH + Đại học Giáo dục hoặc Viện Sức khoẻ Tâm thần.</w:t>
      </w:r>
    </w:p>
    <w:p>
      <w:r>
        <w:rPr>
          <w:sz w:val="22"/>
        </w:rPr>
        <w:t>3. Protocol phải được công bố trước trên PROSPERO hoặc ClinicalTrials.gov — như Walder 2025 (PROSPERO CRD42023424181).</w:t>
      </w:r>
    </w:p>
    <w:p>
      <w:r>
        <w:rPr>
          <w:sz w:val="22"/>
        </w:rPr>
        <w:t>4. Training therapist chuẩn hoá — là phần quan trọng nhất để đảm bảo các site cho kết quả so sánh được.</w:t>
      </w:r>
    </w:p>
    <w:p>
      <w:r>
        <w:rPr>
          <w:sz w:val="22"/>
        </w:rPr>
        <w:t>5. Sample target ≥ 300 (có thể chia 150 can thiệp + 150 đối chứng) để đủ power cho effect size d ≈ 0,4–0,5.</w:t>
      </w:r>
    </w:p>
    <w:p/>
    <w:p>
      <w:pPr>
        <w:pStyle w:val="Heading1"/>
      </w:pPr>
      <w:r>
        <w:rPr>
          <w:color w:val="1F497D"/>
        </w:rPr>
        <w:t>8. Ghi nhớ 1 dòng</w:t>
      </w:r>
    </w:p>
    <w:tbl>
      <w:tblPr>
        <w:tblStyle w:val="TableGrid"/>
        <w:tblW w:type="auto" w:w="0"/>
        <w:tblLook w:firstColumn="1" w:firstRow="1" w:lastColumn="0" w:lastRow="0" w:noHBand="0" w:noVBand="1" w:val="04A0"/>
      </w:tblPr>
      <w:tblGrid>
        <w:gridCol w:w="8640"/>
      </w:tblGrid>
      <w:tr>
        <w:tc>
          <w:tcPr>
            <w:tcW w:type="dxa" w:w="8640"/>
            <w:shd w:fill="E2EFDA"/>
          </w:tcPr>
          <w:p>
            <w:r>
              <w:rPr>
                <w:b/>
                <w:color w:val="365F2C"/>
                <w:sz w:val="24"/>
              </w:rPr>
              <w:t>RCT đa trung tâm = MỘT nghiên cứu + NHIỀU địa điểm + CÙNG MỘT protocol. Mục tiêu: mẫu lớn, dân số đa dạng, giảm bias, tăng tính ngoại suy để can thiệp áp dụng rộng rãi được.</w:t>
            </w:r>
          </w:p>
        </w:tc>
      </w:tr>
    </w:tbl>
    <w:p/>
    <w:p>
      <w:pPr>
        <w:pStyle w:val="Heading1"/>
      </w:pPr>
      <w:r>
        <w:rPr>
          <w:color w:val="1F497D"/>
        </w:rPr>
        <w:t>Tài liệu tham khảo</w:t>
      </w:r>
    </w:p>
    <w:p>
      <w:pPr>
        <w:pStyle w:val="ListNumber"/>
      </w:pPr>
      <w:r>
        <w:rPr>
          <w:sz w:val="20"/>
        </w:rPr>
        <w:t>Walkup JT, Albano AM, Piacentini J, et al. (2008). Cognitive behavioral therapy, sertraline, or a combination in childhood anxiety. New England Journal of Medicine, 359(26):2753-2766. [Bài gốc CAMS — chưa có trong thư viện dự án]</w:t>
      </w:r>
    </w:p>
    <w:p>
      <w:pPr>
        <w:pStyle w:val="ListNumber"/>
      </w:pPr>
      <w:r>
        <w:rPr>
          <w:sz w:val="20"/>
        </w:rPr>
        <w:t>Zugman A, Grillon C, Pine DS. (2024). Treatment of pediatric anxiety disorders: current and emerging approaches. American Journal of Psychiatry. [QT028 — có trong thư viện, dùng để verify CAMS]</w:t>
      </w:r>
    </w:p>
    <w:p>
      <w:pPr>
        <w:pStyle w:val="ListNumber"/>
      </w:pPr>
      <w:r>
        <w:rPr>
          <w:sz w:val="20"/>
        </w:rPr>
        <w:t>Kwok EY, Moodie ST, Cunningham BJ, Oram Cardy JE. (2022). Selecting and tailoring implementation interventions: a concept mapping approach. BMC Health Services Research. [Về đa trung tâm trong health research]</w:t>
      </w:r>
    </w:p>
    <w:p>
      <w:pPr>
        <w:pStyle w:val="ListNumber"/>
      </w:pPr>
      <w:r>
        <w:rPr>
          <w:sz w:val="20"/>
        </w:rPr>
        <w:t>Meinert CL. (2012). ClinicalTrials: Design, Conduct, and Analysis (2nd ed). Oxford University Press. [Giáo khoa chuẩn về multicenter RCT]</w:t>
      </w:r>
    </w:p>
    <w:p/>
    <w:p>
      <w:r>
        <w:rPr>
          <w:i/>
          <w:color w:val="808080"/>
          <w:sz w:val="18"/>
        </w:rPr>
        <w:t>Biên soạn: 20/04/2026 | Thông tin CAMS cốt lõi (488 trẻ, 4 nhóm, tuổi 7-17) đã verify qua PDF Zugman 2024 (QT028). Số trung tâm cụ thể và response rate chính xác chưa verify từ bài gốc NEJM — nếu cần thầy đọc Walkup 2008 bản đầy đủ.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