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Mô hình CFA là gì?</w:t>
      </w:r>
    </w:p>
    <w:p>
      <w:r>
        <w:rPr>
          <w:b/>
          <w:color w:val="1F497D"/>
          <w:sz w:val="28"/>
        </w:rPr>
        <w:t>— Confirmatory Factor Analysis — Phân tích nhân tố khẳng định —</w:t>
      </w:r>
    </w:p>
    <w:p>
      <w:r>
        <w:rPr>
          <w:b/>
          <w:color w:val="1F497D"/>
          <w:sz w:val="28"/>
        </w:rPr>
        <w:t>Câu hỏi của thầy</w:t>
      </w:r>
    </w:p>
    <w:p>
      <w:r>
        <w:rPr>
          <w:b w:val="0"/>
          <w:i w:val="0"/>
          <w:color w:val="0070C0"/>
          <w:sz w:val="24"/>
        </w:rPr>
        <w:t>Mô hình CFA là gì, Em ơi?</w:t>
      </w:r>
    </w:p>
    <w:p>
      <w:r>
        <w:rPr>
          <w:b/>
          <w:color w:val="1F497D"/>
          <w:sz w:val="28"/>
        </w:rPr>
        <w:t>1. ĐỊNH NGHĨA NGẮN</w:t>
      </w:r>
    </w:p>
    <w:p>
      <w:r>
        <w:rPr>
          <w:b/>
          <w:i w:val="0"/>
          <w:color w:val="000000"/>
          <w:sz w:val="24"/>
        </w:rPr>
        <w:t>CFA = Confirmatory Factor Analysis = Phân tích nhân tố khẳng định.</w:t>
      </w:r>
    </w:p>
    <w:p>
      <w:r>
        <w:rPr>
          <w:b w:val="0"/>
          <w:i w:val="0"/>
          <w:color w:val="000000"/>
          <w:sz w:val="24"/>
        </w:rPr>
        <w:t>CFA là một kỹ thuật thống kê dùng để KIỂM TRA xem một mô hình lý thuyết về cấu trúc nhân tố (factor structure) của một thang đo có PHÙ HỢP với dữ liệu thực hay không.</w:t>
      </w:r>
    </w:p>
    <w:p>
      <w:r>
        <w:rPr>
          <w:b/>
          <w:color w:val="1F497D"/>
          <w:sz w:val="28"/>
        </w:rPr>
        <w:t>2. KHÁC BIỆT VỚI EFA (Exploratory Factor Analysis)</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Tiêu chí</w:t>
            </w:r>
          </w:p>
        </w:tc>
        <w:tc>
          <w:tcPr>
            <w:tcW w:type="dxa" w:w="3230"/>
          </w:tcPr>
          <w:p>
            <w:r>
              <w:rPr>
                <w:rFonts w:ascii="Times New Roman" w:hAnsi="Times New Roman"/>
                <w:sz w:val="22"/>
              </w:rPr>
              <w:t>EFA (khám phá)</w:t>
            </w:r>
          </w:p>
        </w:tc>
        <w:tc>
          <w:tcPr>
            <w:tcW w:type="dxa" w:w="3230"/>
          </w:tcPr>
          <w:p>
            <w:r>
              <w:rPr>
                <w:rFonts w:ascii="Times New Roman" w:hAnsi="Times New Roman"/>
                <w:sz w:val="22"/>
              </w:rPr>
              <w:t>CFA (khẳng định)</w:t>
            </w:r>
          </w:p>
        </w:tc>
      </w:tr>
      <w:tr>
        <w:tc>
          <w:tcPr>
            <w:tcW w:type="dxa" w:w="3230"/>
          </w:tcPr>
          <w:p>
            <w:r>
              <w:rPr>
                <w:rFonts w:ascii="Times New Roman" w:hAnsi="Times New Roman"/>
                <w:sz w:val="22"/>
              </w:rPr>
              <w:t>Mục đích</w:t>
            </w:r>
          </w:p>
        </w:tc>
        <w:tc>
          <w:tcPr>
            <w:tcW w:type="dxa" w:w="3230"/>
          </w:tcPr>
          <w:p>
            <w:r>
              <w:rPr>
                <w:rFonts w:ascii="Times New Roman" w:hAnsi="Times New Roman"/>
                <w:sz w:val="22"/>
              </w:rPr>
              <w:t>TÌM cấu trúc nhân tố mới</w:t>
            </w:r>
          </w:p>
        </w:tc>
        <w:tc>
          <w:tcPr>
            <w:tcW w:type="dxa" w:w="3230"/>
          </w:tcPr>
          <w:p>
            <w:r>
              <w:rPr>
                <w:rFonts w:ascii="Times New Roman" w:hAnsi="Times New Roman"/>
                <w:sz w:val="22"/>
              </w:rPr>
              <w:t>KIỂM TRA cấu trúc đã giả định</w:t>
            </w:r>
          </w:p>
        </w:tc>
      </w:tr>
      <w:tr>
        <w:tc>
          <w:tcPr>
            <w:tcW w:type="dxa" w:w="3230"/>
          </w:tcPr>
          <w:p>
            <w:r>
              <w:rPr>
                <w:rFonts w:ascii="Times New Roman" w:hAnsi="Times New Roman"/>
                <w:sz w:val="22"/>
              </w:rPr>
              <w:t>Khi dùng</w:t>
            </w:r>
          </w:p>
        </w:tc>
        <w:tc>
          <w:tcPr>
            <w:tcW w:type="dxa" w:w="3230"/>
          </w:tcPr>
          <w:p>
            <w:r>
              <w:rPr>
                <w:rFonts w:ascii="Times New Roman" w:hAnsi="Times New Roman"/>
                <w:sz w:val="22"/>
              </w:rPr>
              <w:t>Phát triển thang đo mới</w:t>
            </w:r>
          </w:p>
        </w:tc>
        <w:tc>
          <w:tcPr>
            <w:tcW w:type="dxa" w:w="3230"/>
          </w:tcPr>
          <w:p>
            <w:r>
              <w:rPr>
                <w:rFonts w:ascii="Times New Roman" w:hAnsi="Times New Roman"/>
                <w:sz w:val="22"/>
              </w:rPr>
              <w:t>Kiểm chứng thang đo có sẵn trên mẫu mới</w:t>
            </w:r>
          </w:p>
        </w:tc>
      </w:tr>
      <w:tr>
        <w:tc>
          <w:tcPr>
            <w:tcW w:type="dxa" w:w="3230"/>
          </w:tcPr>
          <w:p>
            <w:r>
              <w:rPr>
                <w:rFonts w:ascii="Times New Roman" w:hAnsi="Times New Roman"/>
                <w:sz w:val="22"/>
              </w:rPr>
              <w:t>Số nhân tố</w:t>
            </w:r>
          </w:p>
        </w:tc>
        <w:tc>
          <w:tcPr>
            <w:tcW w:type="dxa" w:w="3230"/>
          </w:tcPr>
          <w:p>
            <w:r>
              <w:rPr>
                <w:rFonts w:ascii="Times New Roman" w:hAnsi="Times New Roman"/>
                <w:sz w:val="22"/>
              </w:rPr>
              <w:t>Để dữ liệu quyết định</w:t>
            </w:r>
          </w:p>
        </w:tc>
        <w:tc>
          <w:tcPr>
            <w:tcW w:type="dxa" w:w="3230"/>
          </w:tcPr>
          <w:p>
            <w:r>
              <w:rPr>
                <w:rFonts w:ascii="Times New Roman" w:hAnsi="Times New Roman"/>
                <w:sz w:val="22"/>
              </w:rPr>
              <w:t>Tác giả ấn định trước</w:t>
            </w:r>
          </w:p>
        </w:tc>
      </w:tr>
      <w:tr>
        <w:tc>
          <w:tcPr>
            <w:tcW w:type="dxa" w:w="3230"/>
          </w:tcPr>
          <w:p>
            <w:r>
              <w:rPr>
                <w:rFonts w:ascii="Times New Roman" w:hAnsi="Times New Roman"/>
                <w:sz w:val="22"/>
              </w:rPr>
              <w:t>Items thuộc nhân tố nào</w:t>
            </w:r>
          </w:p>
        </w:tc>
        <w:tc>
          <w:tcPr>
            <w:tcW w:type="dxa" w:w="3230"/>
          </w:tcPr>
          <w:p>
            <w:r>
              <w:rPr>
                <w:rFonts w:ascii="Times New Roman" w:hAnsi="Times New Roman"/>
                <w:sz w:val="22"/>
              </w:rPr>
              <w:t>Để dữ liệu quyết định</w:t>
            </w:r>
          </w:p>
        </w:tc>
        <w:tc>
          <w:tcPr>
            <w:tcW w:type="dxa" w:w="3230"/>
          </w:tcPr>
          <w:p>
            <w:r>
              <w:rPr>
                <w:rFonts w:ascii="Times New Roman" w:hAnsi="Times New Roman"/>
                <w:sz w:val="22"/>
              </w:rPr>
              <w:t>Tác giả gán trước theo lý thuyết</w:t>
            </w:r>
          </w:p>
        </w:tc>
      </w:tr>
      <w:tr>
        <w:tc>
          <w:tcPr>
            <w:tcW w:type="dxa" w:w="3230"/>
          </w:tcPr>
          <w:p>
            <w:r>
              <w:rPr>
                <w:rFonts w:ascii="Times New Roman" w:hAnsi="Times New Roman"/>
                <w:sz w:val="22"/>
              </w:rPr>
              <w:t>Chỉ số đánh giá</w:t>
            </w:r>
          </w:p>
        </w:tc>
        <w:tc>
          <w:tcPr>
            <w:tcW w:type="dxa" w:w="3230"/>
          </w:tcPr>
          <w:p>
            <w:r>
              <w:rPr>
                <w:rFonts w:ascii="Times New Roman" w:hAnsi="Times New Roman"/>
                <w:sz w:val="22"/>
              </w:rPr>
              <w:t>Eigenvalue, % variance, KMO</w:t>
            </w:r>
          </w:p>
        </w:tc>
        <w:tc>
          <w:tcPr>
            <w:tcW w:type="dxa" w:w="3230"/>
          </w:tcPr>
          <w:p>
            <w:r>
              <w:rPr>
                <w:rFonts w:ascii="Times New Roman" w:hAnsi="Times New Roman"/>
                <w:sz w:val="22"/>
              </w:rPr>
              <w:t>χ²/df, CFI, TLI, RMSEA, SRMR</w:t>
            </w:r>
          </w:p>
        </w:tc>
      </w:tr>
      <w:tr>
        <w:tc>
          <w:tcPr>
            <w:tcW w:type="dxa" w:w="3230"/>
          </w:tcPr>
          <w:p>
            <w:r>
              <w:rPr>
                <w:rFonts w:ascii="Times New Roman" w:hAnsi="Times New Roman"/>
                <w:sz w:val="22"/>
              </w:rPr>
              <w:t>Phần mềm</w:t>
            </w:r>
          </w:p>
        </w:tc>
        <w:tc>
          <w:tcPr>
            <w:tcW w:type="dxa" w:w="3230"/>
          </w:tcPr>
          <w:p>
            <w:r>
              <w:rPr>
                <w:rFonts w:ascii="Times New Roman" w:hAnsi="Times New Roman"/>
                <w:sz w:val="22"/>
              </w:rPr>
              <w:t>SPSS, R psych package</w:t>
            </w:r>
          </w:p>
        </w:tc>
        <w:tc>
          <w:tcPr>
            <w:tcW w:type="dxa" w:w="3230"/>
          </w:tcPr>
          <w:p>
            <w:r>
              <w:rPr>
                <w:rFonts w:ascii="Times New Roman" w:hAnsi="Times New Roman"/>
                <w:sz w:val="22"/>
              </w:rPr>
              <w:t>AMOS, Mplus, R lavaan, LISREL</w:t>
            </w:r>
          </w:p>
        </w:tc>
      </w:tr>
      <w:tr>
        <w:tc>
          <w:tcPr>
            <w:tcW w:type="dxa" w:w="3230"/>
          </w:tcPr>
          <w:p>
            <w:r>
              <w:rPr>
                <w:rFonts w:ascii="Times New Roman" w:hAnsi="Times New Roman"/>
                <w:sz w:val="22"/>
              </w:rPr>
              <w:t>Bậc cao trong NC</w:t>
            </w:r>
          </w:p>
        </w:tc>
        <w:tc>
          <w:tcPr>
            <w:tcW w:type="dxa" w:w="3230"/>
          </w:tcPr>
          <w:p>
            <w:r>
              <w:rPr>
                <w:rFonts w:ascii="Times New Roman" w:hAnsi="Times New Roman"/>
                <w:sz w:val="22"/>
              </w:rPr>
              <w:t>Bước đầu khi xây thang</w:t>
            </w:r>
          </w:p>
        </w:tc>
        <w:tc>
          <w:tcPr>
            <w:tcW w:type="dxa" w:w="3230"/>
          </w:tcPr>
          <w:p>
            <w:r>
              <w:rPr>
                <w:rFonts w:ascii="Times New Roman" w:hAnsi="Times New Roman"/>
                <w:sz w:val="22"/>
              </w:rPr>
              <w:t>Bước sau, kiểm chứng độ giá trị</w:t>
            </w:r>
          </w:p>
        </w:tc>
      </w:tr>
    </w:tbl>
    <w:p>
      <w:r>
        <w:rPr>
          <w:b w:val="0"/>
          <w:i w:val="0"/>
          <w:color w:val="000000"/>
          <w:sz w:val="24"/>
        </w:rPr>
      </w:r>
    </w:p>
    <w:p>
      <w:r>
        <w:rPr>
          <w:b w:val="0"/>
          <w:i/>
          <w:color w:val="000000"/>
          <w:sz w:val="24"/>
        </w:rPr>
        <w:t>Workflow chuẩn: EFA → CFA. EFA cho biết có MẤY nhân tố, mỗi nhân tố gồm items nào. CFA confirm cấu trúc đó trên mẫu MỚI khác.</w:t>
      </w:r>
    </w:p>
    <w:p>
      <w:r>
        <w:rPr>
          <w:b/>
          <w:color w:val="1F497D"/>
          <w:sz w:val="28"/>
        </w:rPr>
        <w:t>3. VÍ DỤ CỤ THỂ — DASS-21</w:t>
      </w:r>
    </w:p>
    <w:p>
      <w:r>
        <w:rPr>
          <w:b w:val="0"/>
          <w:i w:val="0"/>
          <w:color w:val="000000"/>
          <w:sz w:val="24"/>
        </w:rPr>
        <w:t>DASS-21 (Depression Anxiety Stress Scales) có 21 mục, lý thuyết gồm 3 nhân tố (mỗi 7 mục):</w:t>
      </w:r>
    </w:p>
    <w:p>
      <w:pPr>
        <w:pStyle w:val="ListBullet"/>
      </w:pPr>
      <w:r>
        <w:rPr>
          <w:i w:val="0"/>
          <w:color w:val="000000"/>
          <w:sz w:val="24"/>
        </w:rPr>
        <w:t>Trầm cảm: items 3, 5, 10, 13, 16, 17, 21</w:t>
      </w:r>
    </w:p>
    <w:p>
      <w:pPr>
        <w:pStyle w:val="ListBullet"/>
      </w:pPr>
      <w:r>
        <w:rPr>
          <w:i w:val="0"/>
          <w:color w:val="000000"/>
          <w:sz w:val="24"/>
        </w:rPr>
        <w:t>Lo âu: items 2, 4, 7, 9, 15, 19, 20</w:t>
      </w:r>
    </w:p>
    <w:p>
      <w:pPr>
        <w:pStyle w:val="ListBullet"/>
      </w:pPr>
      <w:r>
        <w:rPr>
          <w:i w:val="0"/>
          <w:color w:val="000000"/>
          <w:sz w:val="24"/>
        </w:rPr>
        <w:t>Stress: items 1, 6, 8, 11, 12, 14, 18</w:t>
      </w:r>
    </w:p>
    <w:p>
      <w:r>
        <w:rPr>
          <w:b w:val="0"/>
          <w:i w:val="0"/>
          <w:color w:val="000000"/>
          <w:sz w:val="24"/>
        </w:rPr>
        <w:t>Khi dịch sang tiếng Việt và áp dụng trên HS VN, người ta phải chạy CFA để kiểm tra:</w:t>
      </w:r>
    </w:p>
    <w:p>
      <w:pPr>
        <w:pStyle w:val="ListBullet"/>
      </w:pPr>
      <w:r>
        <w:rPr>
          <w:i w:val="0"/>
          <w:color w:val="000000"/>
          <w:sz w:val="24"/>
        </w:rPr>
        <w:t>Có thật sự gom thành 3 nhân tố như cấu trúc gốc không? (Hay 1 nhân tố? 4 nhân tố?)</w:t>
      </w:r>
    </w:p>
    <w:p>
      <w:pPr>
        <w:pStyle w:val="ListBullet"/>
      </w:pPr>
      <w:r>
        <w:rPr>
          <w:i w:val="0"/>
          <w:color w:val="000000"/>
          <w:sz w:val="24"/>
        </w:rPr>
        <w:t>Mỗi mục có "load" lên đúng nhân tố lý thuyết không (factor loading &gt; 0,4)?</w:t>
      </w:r>
    </w:p>
    <w:p>
      <w:pPr>
        <w:pStyle w:val="ListBullet"/>
      </w:pPr>
      <w:r>
        <w:rPr>
          <w:i w:val="0"/>
          <w:color w:val="000000"/>
          <w:sz w:val="24"/>
        </w:rPr>
        <w:t>3 nhân tố có tương quan như y văn dự kiến không (~0,6-0,8 giữa Anxiety-Depression)?</w:t>
      </w:r>
    </w:p>
    <w:p>
      <w:r>
        <w:rPr>
          <w:b/>
          <w:color w:val="1F497D"/>
          <w:sz w:val="28"/>
        </w:rPr>
        <w:t>4. CÁC CHỈ SỐ FIT INDICES — Bao nhiêu là "fit tốt"?</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2"/>
              </w:rPr>
              <w:t>Chỉ số</w:t>
            </w:r>
          </w:p>
        </w:tc>
        <w:tc>
          <w:tcPr>
            <w:tcW w:type="dxa" w:w="2422"/>
          </w:tcPr>
          <w:p>
            <w:r>
              <w:rPr>
                <w:rFonts w:ascii="Times New Roman" w:hAnsi="Times New Roman"/>
                <w:sz w:val="22"/>
              </w:rPr>
              <w:t>Tốt</w:t>
            </w:r>
          </w:p>
        </w:tc>
        <w:tc>
          <w:tcPr>
            <w:tcW w:type="dxa" w:w="2422"/>
          </w:tcPr>
          <w:p>
            <w:r>
              <w:rPr>
                <w:rFonts w:ascii="Times New Roman" w:hAnsi="Times New Roman"/>
                <w:sz w:val="22"/>
              </w:rPr>
              <w:t>Chấp nhận</w:t>
            </w:r>
          </w:p>
        </w:tc>
        <w:tc>
          <w:tcPr>
            <w:tcW w:type="dxa" w:w="2422"/>
          </w:tcPr>
          <w:p>
            <w:r>
              <w:rPr>
                <w:rFonts w:ascii="Times New Roman" w:hAnsi="Times New Roman"/>
                <w:sz w:val="22"/>
              </w:rPr>
              <w:t>Kém</w:t>
            </w:r>
          </w:p>
        </w:tc>
      </w:tr>
      <w:tr>
        <w:tc>
          <w:tcPr>
            <w:tcW w:type="dxa" w:w="2422"/>
          </w:tcPr>
          <w:p>
            <w:r>
              <w:rPr>
                <w:rFonts w:ascii="Times New Roman" w:hAnsi="Times New Roman"/>
                <w:sz w:val="22"/>
              </w:rPr>
              <w:t>χ²/df (chi-square / df)</w:t>
            </w:r>
          </w:p>
        </w:tc>
        <w:tc>
          <w:tcPr>
            <w:tcW w:type="dxa" w:w="2422"/>
          </w:tcPr>
          <w:p>
            <w:r>
              <w:rPr>
                <w:rFonts w:ascii="Times New Roman" w:hAnsi="Times New Roman"/>
                <w:sz w:val="22"/>
              </w:rPr>
              <w:t>&lt; 2</w:t>
            </w:r>
          </w:p>
        </w:tc>
        <w:tc>
          <w:tcPr>
            <w:tcW w:type="dxa" w:w="2422"/>
          </w:tcPr>
          <w:p>
            <w:r>
              <w:rPr>
                <w:rFonts w:ascii="Times New Roman" w:hAnsi="Times New Roman"/>
                <w:sz w:val="22"/>
              </w:rPr>
              <w:t>&lt; 3</w:t>
            </w:r>
          </w:p>
        </w:tc>
        <w:tc>
          <w:tcPr>
            <w:tcW w:type="dxa" w:w="2422"/>
          </w:tcPr>
          <w:p>
            <w:r>
              <w:rPr>
                <w:rFonts w:ascii="Times New Roman" w:hAnsi="Times New Roman"/>
                <w:sz w:val="22"/>
              </w:rPr>
              <w:t>&gt; 5</w:t>
            </w:r>
          </w:p>
        </w:tc>
      </w:tr>
      <w:tr>
        <w:tc>
          <w:tcPr>
            <w:tcW w:type="dxa" w:w="2422"/>
          </w:tcPr>
          <w:p>
            <w:r>
              <w:rPr>
                <w:rFonts w:ascii="Times New Roman" w:hAnsi="Times New Roman"/>
                <w:sz w:val="22"/>
              </w:rPr>
              <w:t>CFI (Comparative Fit Index)</w:t>
            </w:r>
          </w:p>
        </w:tc>
        <w:tc>
          <w:tcPr>
            <w:tcW w:type="dxa" w:w="2422"/>
          </w:tcPr>
          <w:p>
            <w:r>
              <w:rPr>
                <w:rFonts w:ascii="Times New Roman" w:hAnsi="Times New Roman"/>
                <w:sz w:val="22"/>
              </w:rPr>
              <w:t>&gt; 0,95</w:t>
            </w:r>
          </w:p>
        </w:tc>
        <w:tc>
          <w:tcPr>
            <w:tcW w:type="dxa" w:w="2422"/>
          </w:tcPr>
          <w:p>
            <w:r>
              <w:rPr>
                <w:rFonts w:ascii="Times New Roman" w:hAnsi="Times New Roman"/>
                <w:sz w:val="22"/>
              </w:rPr>
              <w:t>&gt; 0,90</w:t>
            </w:r>
          </w:p>
        </w:tc>
        <w:tc>
          <w:tcPr>
            <w:tcW w:type="dxa" w:w="2422"/>
          </w:tcPr>
          <w:p>
            <w:r>
              <w:rPr>
                <w:rFonts w:ascii="Times New Roman" w:hAnsi="Times New Roman"/>
                <w:sz w:val="22"/>
              </w:rPr>
              <w:t>&lt; 0,90</w:t>
            </w:r>
          </w:p>
        </w:tc>
      </w:tr>
      <w:tr>
        <w:tc>
          <w:tcPr>
            <w:tcW w:type="dxa" w:w="2422"/>
          </w:tcPr>
          <w:p>
            <w:r>
              <w:rPr>
                <w:rFonts w:ascii="Times New Roman" w:hAnsi="Times New Roman"/>
                <w:sz w:val="22"/>
              </w:rPr>
              <w:t>TLI (Tucker-Lewis Index)</w:t>
            </w:r>
          </w:p>
        </w:tc>
        <w:tc>
          <w:tcPr>
            <w:tcW w:type="dxa" w:w="2422"/>
          </w:tcPr>
          <w:p>
            <w:r>
              <w:rPr>
                <w:rFonts w:ascii="Times New Roman" w:hAnsi="Times New Roman"/>
                <w:sz w:val="22"/>
              </w:rPr>
              <w:t>&gt; 0,95</w:t>
            </w:r>
          </w:p>
        </w:tc>
        <w:tc>
          <w:tcPr>
            <w:tcW w:type="dxa" w:w="2422"/>
          </w:tcPr>
          <w:p>
            <w:r>
              <w:rPr>
                <w:rFonts w:ascii="Times New Roman" w:hAnsi="Times New Roman"/>
                <w:sz w:val="22"/>
              </w:rPr>
              <w:t>&gt; 0,90</w:t>
            </w:r>
          </w:p>
        </w:tc>
        <w:tc>
          <w:tcPr>
            <w:tcW w:type="dxa" w:w="2422"/>
          </w:tcPr>
          <w:p>
            <w:r>
              <w:rPr>
                <w:rFonts w:ascii="Times New Roman" w:hAnsi="Times New Roman"/>
                <w:sz w:val="22"/>
              </w:rPr>
              <w:t>&lt; 0,90</w:t>
            </w:r>
          </w:p>
        </w:tc>
      </w:tr>
      <w:tr>
        <w:tc>
          <w:tcPr>
            <w:tcW w:type="dxa" w:w="2422"/>
          </w:tcPr>
          <w:p>
            <w:r>
              <w:rPr>
                <w:rFonts w:ascii="Times New Roman" w:hAnsi="Times New Roman"/>
                <w:sz w:val="22"/>
              </w:rPr>
              <w:t>RMSEA (Root Mean Square Error of Approximation)</w:t>
            </w:r>
          </w:p>
        </w:tc>
        <w:tc>
          <w:tcPr>
            <w:tcW w:type="dxa" w:w="2422"/>
          </w:tcPr>
          <w:p>
            <w:r>
              <w:rPr>
                <w:rFonts w:ascii="Times New Roman" w:hAnsi="Times New Roman"/>
                <w:sz w:val="22"/>
              </w:rPr>
              <w:t>&lt; 0,06</w:t>
            </w:r>
          </w:p>
        </w:tc>
        <w:tc>
          <w:tcPr>
            <w:tcW w:type="dxa" w:w="2422"/>
          </w:tcPr>
          <w:p>
            <w:r>
              <w:rPr>
                <w:rFonts w:ascii="Times New Roman" w:hAnsi="Times New Roman"/>
                <w:sz w:val="22"/>
              </w:rPr>
              <w:t>0,06-0,08</w:t>
            </w:r>
          </w:p>
        </w:tc>
        <w:tc>
          <w:tcPr>
            <w:tcW w:type="dxa" w:w="2422"/>
          </w:tcPr>
          <w:p>
            <w:r>
              <w:rPr>
                <w:rFonts w:ascii="Times New Roman" w:hAnsi="Times New Roman"/>
                <w:sz w:val="22"/>
              </w:rPr>
              <w:t>&gt; 0,10</w:t>
            </w:r>
          </w:p>
        </w:tc>
      </w:tr>
      <w:tr>
        <w:tc>
          <w:tcPr>
            <w:tcW w:type="dxa" w:w="2422"/>
          </w:tcPr>
          <w:p>
            <w:r>
              <w:rPr>
                <w:rFonts w:ascii="Times New Roman" w:hAnsi="Times New Roman"/>
                <w:sz w:val="22"/>
              </w:rPr>
              <w:t>SRMR (Standardized Root Mean Square Residual)</w:t>
            </w:r>
          </w:p>
        </w:tc>
        <w:tc>
          <w:tcPr>
            <w:tcW w:type="dxa" w:w="2422"/>
          </w:tcPr>
          <w:p>
            <w:r>
              <w:rPr>
                <w:rFonts w:ascii="Times New Roman" w:hAnsi="Times New Roman"/>
                <w:sz w:val="22"/>
              </w:rPr>
              <w:t>&lt; 0,08</w:t>
            </w:r>
          </w:p>
        </w:tc>
        <w:tc>
          <w:tcPr>
            <w:tcW w:type="dxa" w:w="2422"/>
          </w:tcPr>
          <w:p>
            <w:r>
              <w:rPr>
                <w:rFonts w:ascii="Times New Roman" w:hAnsi="Times New Roman"/>
                <w:sz w:val="22"/>
              </w:rPr>
              <w:t>0,08-0,10</w:t>
            </w:r>
          </w:p>
        </w:tc>
        <w:tc>
          <w:tcPr>
            <w:tcW w:type="dxa" w:w="2422"/>
          </w:tcPr>
          <w:p>
            <w:r>
              <w:rPr>
                <w:rFonts w:ascii="Times New Roman" w:hAnsi="Times New Roman"/>
                <w:sz w:val="22"/>
              </w:rPr>
              <w:t>&gt; 0,10</w:t>
            </w:r>
          </w:p>
        </w:tc>
      </w:tr>
      <w:tr>
        <w:tc>
          <w:tcPr>
            <w:tcW w:type="dxa" w:w="2422"/>
          </w:tcPr>
          <w:p>
            <w:r>
              <w:rPr>
                <w:rFonts w:ascii="Times New Roman" w:hAnsi="Times New Roman"/>
                <w:sz w:val="22"/>
              </w:rPr>
              <w:t>Factor loading từng item</w:t>
            </w:r>
          </w:p>
        </w:tc>
        <w:tc>
          <w:tcPr>
            <w:tcW w:type="dxa" w:w="2422"/>
          </w:tcPr>
          <w:p>
            <w:r>
              <w:rPr>
                <w:rFonts w:ascii="Times New Roman" w:hAnsi="Times New Roman"/>
                <w:sz w:val="22"/>
              </w:rPr>
              <w:t>&gt; 0,7</w:t>
            </w:r>
          </w:p>
        </w:tc>
        <w:tc>
          <w:tcPr>
            <w:tcW w:type="dxa" w:w="2422"/>
          </w:tcPr>
          <w:p>
            <w:r>
              <w:rPr>
                <w:rFonts w:ascii="Times New Roman" w:hAnsi="Times New Roman"/>
                <w:sz w:val="22"/>
              </w:rPr>
              <w:t>0,4-0,7</w:t>
            </w:r>
          </w:p>
        </w:tc>
        <w:tc>
          <w:tcPr>
            <w:tcW w:type="dxa" w:w="2422"/>
          </w:tcPr>
          <w:p>
            <w:r>
              <w:rPr>
                <w:rFonts w:ascii="Times New Roman" w:hAnsi="Times New Roman"/>
                <w:sz w:val="22"/>
              </w:rPr>
              <w:t>&lt; 0,4</w:t>
            </w:r>
          </w:p>
        </w:tc>
      </w:tr>
    </w:tbl>
    <w:p>
      <w:r>
        <w:rPr>
          <w:b w:val="0"/>
          <w:i w:val="0"/>
          <w:color w:val="000000"/>
          <w:sz w:val="24"/>
        </w:rPr>
      </w:r>
    </w:p>
    <w:p>
      <w:r>
        <w:rPr>
          <w:b w:val="0"/>
          <w:i/>
          <w:color w:val="000000"/>
          <w:sz w:val="24"/>
        </w:rPr>
        <w:t>Tham chiếu chuẩn: Hu &amp; Bentler (1999) Structural Equation Modeling, 6(1), 1-55.</w:t>
      </w:r>
    </w:p>
    <w:p>
      <w:r>
        <w:rPr>
          <w:b/>
          <w:color w:val="1F497D"/>
          <w:sz w:val="28"/>
        </w:rPr>
        <w:t>5. KHI NÀO BÀI BÁO PHẢI CÓ CFA</w:t>
      </w:r>
    </w:p>
    <w:p>
      <w:pPr>
        <w:pStyle w:val="ListBullet"/>
      </w:pPr>
      <w:r>
        <w:rPr>
          <w:i w:val="0"/>
          <w:color w:val="000000"/>
          <w:sz w:val="24"/>
        </w:rPr>
        <w:t>Khi VALIDATE thang đo trên dân số/ngôn ngữ MỚI (ví dụ DASS-21 bản Việt hóa).</w:t>
      </w:r>
    </w:p>
    <w:p>
      <w:pPr>
        <w:pStyle w:val="ListBullet"/>
      </w:pPr>
      <w:r>
        <w:rPr>
          <w:i w:val="0"/>
          <w:color w:val="000000"/>
          <w:sz w:val="24"/>
        </w:rPr>
        <w:t>Khi đề xuất MÔ HÌNH MỚI (ví dụ thang đo academic stress 4 yếu tố mới).</w:t>
      </w:r>
    </w:p>
    <w:p>
      <w:pPr>
        <w:pStyle w:val="ListBullet"/>
      </w:pPr>
      <w:r>
        <w:rPr>
          <w:i w:val="0"/>
          <w:color w:val="000000"/>
          <w:sz w:val="24"/>
        </w:rPr>
        <w:t>Khi nghi ngờ thang đo gốc không phù hợp với mẫu hiện tại (xuyên văn hóa).</w:t>
      </w:r>
    </w:p>
    <w:p>
      <w:pPr>
        <w:pStyle w:val="ListBullet"/>
      </w:pPr>
      <w:r>
        <w:rPr>
          <w:i w:val="0"/>
          <w:color w:val="000000"/>
          <w:sz w:val="24"/>
        </w:rPr>
        <w:t>Khi tạp chí Q1/Q2 yêu cầu — đa số tạp chí psychometric quốc tế bắt buộc CFA.</w:t>
      </w:r>
    </w:p>
    <w:p>
      <w:r>
        <w:rPr>
          <w:b/>
          <w:color w:val="1F497D"/>
          <w:sz w:val="28"/>
        </w:rPr>
        <w:t>6. HẠN CHẾ CỦA CFA</w:t>
      </w:r>
    </w:p>
    <w:p>
      <w:pPr>
        <w:pStyle w:val="ListBullet"/>
      </w:pPr>
      <w:r>
        <w:rPr>
          <w:i w:val="0"/>
          <w:color w:val="000000"/>
          <w:sz w:val="24"/>
        </w:rPr>
        <w:t>Cần MẪU LỚN (tối thiểu 200-300, tốt hơn 500+) — quy tắc 5-10 quan sát/parameter.</w:t>
      </w:r>
    </w:p>
    <w:p>
      <w:pPr>
        <w:pStyle w:val="ListBullet"/>
      </w:pPr>
      <w:r>
        <w:rPr>
          <w:i w:val="0"/>
          <w:color w:val="000000"/>
          <w:sz w:val="24"/>
        </w:rPr>
        <w:t>Phụ thuộc giả định: phân phối chuẩn đa biến (multivariate normality). Nếu vi phạm, dùng MLM (Maximum Likelihood Robust) hoặc WLSMV.</w:t>
      </w:r>
    </w:p>
    <w:p>
      <w:pPr>
        <w:pStyle w:val="ListBullet"/>
      </w:pPr>
      <w:r>
        <w:rPr>
          <w:i w:val="0"/>
          <w:color w:val="000000"/>
          <w:sz w:val="24"/>
        </w:rPr>
        <w:t>KHÔNG bằng chứng nguyên nhân-kết quả — chỉ kiểm tra cấu trúc tương quan.</w:t>
      </w:r>
    </w:p>
    <w:p>
      <w:pPr>
        <w:pStyle w:val="ListBullet"/>
      </w:pPr>
      <w:r>
        <w:rPr>
          <w:i w:val="0"/>
          <w:color w:val="000000"/>
          <w:sz w:val="24"/>
        </w:rPr>
        <w:t>Có thể "fit tốt" nhưng vẫn sai về lý thuyết (model misspecification).</w:t>
      </w:r>
    </w:p>
    <w:p>
      <w:r>
        <w:rPr>
          <w:b/>
          <w:color w:val="0070C0"/>
          <w:sz w:val="28"/>
        </w:rPr>
        <w:t>CÂU TRẢ LỜI</w:t>
      </w:r>
    </w:p>
    <w:p>
      <w:r>
        <w:rPr>
          <w:b/>
          <w:i w:val="0"/>
          <w:color w:val="0070C0"/>
          <w:sz w:val="24"/>
        </w:rPr>
        <w:t>CFA = Confirmatory Factor Analysis = Phân tích nhân tố khẳng định:</w:t>
      </w:r>
    </w:p>
    <w:p>
      <w:pPr>
        <w:pStyle w:val="ListBullet"/>
      </w:pPr>
      <w:r>
        <w:rPr>
          <w:i w:val="0"/>
          <w:color w:val="0070C0"/>
          <w:sz w:val="24"/>
        </w:rPr>
        <w:t>Là kỹ thuật thống kê KIỂM TRA xem cấu trúc nhân tố lý thuyết của một thang đo có khớp với dữ liệu thực không.</w:t>
      </w:r>
    </w:p>
    <w:p>
      <w:pPr>
        <w:pStyle w:val="ListBullet"/>
      </w:pPr>
      <w:r>
        <w:rPr>
          <w:i w:val="0"/>
          <w:color w:val="0070C0"/>
          <w:sz w:val="24"/>
        </w:rPr>
        <w:t>Khác EFA: EFA TÌM cấu trúc, CFA KIỂM CHỨNG cấu trúc đã giả định.</w:t>
      </w:r>
    </w:p>
    <w:p>
      <w:pPr>
        <w:pStyle w:val="ListBullet"/>
      </w:pPr>
      <w:r>
        <w:rPr>
          <w:i w:val="0"/>
          <w:color w:val="0070C0"/>
          <w:sz w:val="24"/>
        </w:rPr>
        <w:t>Đánh giá bằng các fit indices: χ²/df &lt; 3, CFI &gt; 0,90, TLI &gt; 0,90, RMSEA &lt; 0,08, SRMR &lt; 0,08.</w:t>
      </w:r>
    </w:p>
    <w:p>
      <w:pPr>
        <w:pStyle w:val="ListBullet"/>
      </w:pPr>
      <w:r>
        <w:rPr>
          <w:i w:val="0"/>
          <w:color w:val="0070C0"/>
          <w:sz w:val="24"/>
        </w:rPr>
        <w:t>Cần khi: validate thang đo bản Việt hóa, đề xuất mô hình mới, tạp chí Q1/Q2 yêu cầu.</w:t>
      </w:r>
    </w:p>
    <w:p>
      <w:pPr>
        <w:pStyle w:val="ListBullet"/>
      </w:pPr>
      <w:r>
        <w:rPr>
          <w:i w:val="0"/>
          <w:color w:val="0070C0"/>
          <w:sz w:val="24"/>
        </w:rPr>
        <w:t>Cần mẫu LỚN (≥200-300), phân phối chuẩn đa biến hoặc dùng estimator robust.</w:t>
      </w:r>
    </w:p>
    <w:p>
      <w:r>
        <w:rPr>
          <w:b/>
          <w:i w:val="0"/>
          <w:color w:val="0070C0"/>
          <w:sz w:val="24"/>
        </w:rPr>
        <w:t>Áp dụng cho dự án thầy:</w:t>
      </w:r>
    </w:p>
    <w:p>
      <w:pPr>
        <w:pStyle w:val="ListBullet"/>
      </w:pPr>
      <w:r>
        <w:rPr>
          <w:i w:val="0"/>
          <w:color w:val="0070C0"/>
          <w:sz w:val="24"/>
        </w:rPr>
        <w:t>Khi thầy đọc một bài VN có "CFA" → kiểm tra: thang gốc có cấu trúc gì? CFA confirm hay reject? Fit indices có đạt ngưỡng không?</w:t>
      </w:r>
    </w:p>
    <w:p>
      <w:pPr>
        <w:pStyle w:val="ListBullet"/>
      </w:pPr>
      <w:r>
        <w:rPr>
          <w:i w:val="0"/>
          <w:color w:val="0070C0"/>
          <w:sz w:val="24"/>
        </w:rPr>
        <w:t>Nhiều bài VN dùng DASS-21 nhưng KHÔNG chạy CFA → giả định mặc nhiên cấu trúc 3 nhân tố đúng cho mẫu Việt — đây là điểm yếu.</w:t>
      </w:r>
    </w:p>
    <w:p>
      <w:pPr>
        <w:pStyle w:val="ListBullet"/>
      </w:pPr>
      <w:r>
        <w:rPr>
          <w:i w:val="0"/>
          <w:color w:val="0070C0"/>
          <w:sz w:val="24"/>
        </w:rPr>
        <w:t>Nếu thầy thiết kế NC mới với thang chuẩn (DASS, GAD-7), nên chạy CFA pilot trước với n=200 trước khi áp dụng full study.</w:t>
      </w:r>
    </w:p>
    <w:p>
      <w:r>
        <w:rPr>
          <w:b/>
          <w:color w:val="1F497D"/>
          <w:sz w:val="28"/>
        </w:rPr>
        <w:t>Phụ lục — Tài liệu tham khảo</w:t>
      </w:r>
    </w:p>
    <w:p>
      <w:r>
        <w:rPr>
          <w:b w:val="0"/>
          <w:i/>
          <w:color w:val="000000"/>
          <w:sz w:val="22"/>
        </w:rPr>
        <w:t>1. Hu, L., &amp; Bentler, P. M. (1999). Cutoff criteria for fit indexes in covariance structure analysis: Conventional criteria versus new alternatives. Structural Equation Modeling, 6(1), 1–55. https://doi.org/10.1080/10705519909540118 — KINH ĐIỂN cho ngưỡng fit indices.</w:t>
      </w:r>
    </w:p>
    <w:p>
      <w:r>
        <w:rPr>
          <w:b w:val="0"/>
          <w:i/>
          <w:color w:val="000000"/>
          <w:sz w:val="22"/>
        </w:rPr>
        <w:t>2. Brown, T. A. (2015). Confirmatory factor analysis for applied research (2nd ed.). Guilford Press. — Sách chuẩn về CFA.</w:t>
      </w:r>
    </w:p>
    <w:p>
      <w:r>
        <w:rPr>
          <w:b w:val="0"/>
          <w:i/>
          <w:color w:val="000000"/>
          <w:sz w:val="22"/>
        </w:rPr>
        <w:t>3. Kline, R. B. (2016). Principles and practice of structural equation modeling (4th ed.). Guilford Press. — SEM bao gồm CFA.</w:t>
      </w:r>
    </w:p>
    <w:p>
      <w:r>
        <w:rPr>
          <w:b w:val="0"/>
          <w:i/>
          <w:color w:val="000000"/>
          <w:sz w:val="22"/>
        </w:rPr>
        <w:t>4. Byrne, B. M. (2016). Structural equation modeling with AMOS: Basic concepts, applications, and programming (3rd ed.). Routledge. — Hướng dẫn chạy CFA bằng AMOS.</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