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CHỮA HỆ THỐNG GIẢ THUYẾT NGHIÊN CỨU</w:t>
        <w:br/>
        <w:t>(Chương 1 — Tổng quan tài liệu và giả thuyết)</w:t>
      </w:r>
    </w:p>
    <w:p>
      <w:pPr>
        <w:ind w:firstLine="567"/>
        <w:jc w:val="both"/>
      </w:pPr>
      <w:r>
        <w:rPr>
          <w:color w:val="000000"/>
          <w:sz w:val="26"/>
        </w:rPr>
      </w:r>
    </w:p>
    <w:p>
      <w:r>
        <w:rPr>
          <w:b/>
          <w:color w:val="000000"/>
          <w:sz w:val="26"/>
        </w:rPr>
        <w:t>1. Đánh giá ba giả thuyết hiện tại</w:t>
      </w:r>
    </w:p>
    <w:p>
      <w:pPr>
        <w:ind w:firstLine="567"/>
        <w:jc w:val="both"/>
      </w:pPr>
      <w:r>
        <w:rPr>
          <w:color w:val="000000"/>
          <w:sz w:val="26"/>
        </w:rPr>
        <w:t>Ba giả thuyết do trợ lý nghiên cứu đề xuất ban đầu phản ánh ĐÚNG bốn mảng kết quả chính của chương 3 — mức độ rối loạn lo âu, khác biệt nhân khẩu, cường độ yếu tố nguy cơ–bảo vệ. Tuy nhiên, ba giả thuyết này còn ba điểm cần chỉnh sửa để đáp ứng chuẩn falsifiability của Popper (1959) và chuẩn a priori prediction của thiết kế nghiên cứu định lượng theo Creswell (2014).</w:t>
      </w:r>
    </w:p>
    <w:p>
      <w:pPr>
        <w:ind w:firstLine="567"/>
        <w:jc w:val="both"/>
      </w:pPr>
      <w:r>
        <w:rPr>
          <w:color w:val="000000"/>
          <w:sz w:val="26"/>
        </w:rPr>
        <w:t>Thứ nhất, các giả thuyết quá RỘNG — chỉ nêu "có sự khác biệt" mà không chỉ rõ HƯỚNG khác biệt. Nói cách khác, giả thuyết "có khác biệt giới tính" sẽ luôn được xác nhận miễn là p &lt; 0,05 ở bất kỳ chiều nào, không cho phép kiểm chứng thực sự một dự đoán cụ thể. Thứ hai, ba giả thuyết thiếu cơ sở y văn DẪN DẮT — không nêu nguồn nào cho phép phát biểu giả thuyết theo hướng đó. Thứ ba, ba giả thuyết BỎ SÓT các phát hiện QUAN TRỌNG khác trong chương 3 — biện pháp đối phó (BPĐP), khoảng trống giao tiếp cha mẹ–con, và hiện tượng tự trọng có cường độ ngang bằng áp lực học tập.</w:t>
      </w:r>
    </w:p>
    <w:p>
      <w:r>
        <w:rPr>
          <w:b/>
          <w:color w:val="000000"/>
          <w:sz w:val="26"/>
        </w:rPr>
        <w:t>1.1. Bảng đánh giá chi tiết ba giả thuyết hiện tại</w:t>
      </w:r>
    </w:p>
    <w:p>
      <w:pPr>
        <w:jc w:val="center"/>
      </w:pPr>
      <w:r>
        <w:rPr>
          <w:b/>
          <w:sz w:val="24"/>
        </w:rPr>
        <w:t>Bảng 1. Đánh giá ba giả thuyết do trợ lý nghiên cứu đề xuất ban đầu</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Giả thuyết</w:t>
            </w:r>
          </w:p>
        </w:tc>
        <w:tc>
          <w:tcPr>
            <w:tcW w:type="dxa" w:w="3135"/>
          </w:tcPr>
          <w:p>
            <w:r>
              <w:rPr>
                <w:rFonts w:ascii="Times New Roman" w:hAnsi="Times New Roman"/>
                <w:sz w:val="22"/>
              </w:rPr>
              <w:t>Đánh giá</w:t>
            </w:r>
          </w:p>
        </w:tc>
        <w:tc>
          <w:tcPr>
            <w:tcW w:type="dxa" w:w="3135"/>
          </w:tcPr>
          <w:p>
            <w:r>
              <w:rPr>
                <w:rFonts w:ascii="Times New Roman" w:hAnsi="Times New Roman"/>
                <w:sz w:val="22"/>
              </w:rPr>
              <w:t>Vấn đề chính</w:t>
            </w:r>
          </w:p>
        </w:tc>
      </w:tr>
      <w:tr>
        <w:tc>
          <w:tcPr>
            <w:tcW w:type="dxa" w:w="3135"/>
          </w:tcPr>
          <w:p>
            <w:r>
              <w:rPr>
                <w:rFonts w:ascii="Times New Roman" w:hAnsi="Times New Roman"/>
                <w:sz w:val="22"/>
              </w:rPr>
              <w:t>H1: Có sự khác biệt về mức độ giữa ba dạng RLLA</w:t>
            </w:r>
          </w:p>
        </w:tc>
        <w:tc>
          <w:tcPr>
            <w:tcW w:type="dxa" w:w="3135"/>
          </w:tcPr>
          <w:p>
            <w:r>
              <w:rPr>
                <w:rFonts w:ascii="Times New Roman" w:hAnsi="Times New Roman"/>
                <w:sz w:val="22"/>
              </w:rPr>
              <w:t>Đúng hướng — kết quả xác nhận</w:t>
            </w:r>
          </w:p>
        </w:tc>
        <w:tc>
          <w:tcPr>
            <w:tcW w:type="dxa" w:w="3135"/>
          </w:tcPr>
          <w:p>
            <w:r>
              <w:rPr>
                <w:rFonts w:ascii="Times New Roman" w:hAnsi="Times New Roman"/>
                <w:sz w:val="22"/>
              </w:rPr>
              <w:t>Quá rộng. Không nêu HƯỚNG: dạng nào cao nhất, dạng nào thấp nhất.</w:t>
            </w:r>
          </w:p>
        </w:tc>
      </w:tr>
      <w:tr>
        <w:tc>
          <w:tcPr>
            <w:tcW w:type="dxa" w:w="3135"/>
          </w:tcPr>
          <w:p>
            <w:r>
              <w:rPr>
                <w:rFonts w:ascii="Times New Roman" w:hAnsi="Times New Roman"/>
                <w:sz w:val="22"/>
              </w:rPr>
              <w:t>H2: Có khác biệt có ý nghĩa thống kê về RLLA theo giới và khối lớp</w:t>
            </w:r>
          </w:p>
        </w:tc>
        <w:tc>
          <w:tcPr>
            <w:tcW w:type="dxa" w:w="3135"/>
          </w:tcPr>
          <w:p>
            <w:r>
              <w:rPr>
                <w:rFonts w:ascii="Times New Roman" w:hAnsi="Times New Roman"/>
                <w:sz w:val="22"/>
              </w:rPr>
              <w:t>Đúng hướng — kết quả xác nhận một phần</w:t>
            </w:r>
          </w:p>
        </w:tc>
        <w:tc>
          <w:tcPr>
            <w:tcW w:type="dxa" w:w="3135"/>
          </w:tcPr>
          <w:p>
            <w:r>
              <w:rPr>
                <w:rFonts w:ascii="Times New Roman" w:hAnsi="Times New Roman"/>
                <w:sz w:val="22"/>
              </w:rPr>
              <w:t>Không nêu HƯỚNG (nữ &gt; nam? lớp lớn &gt; lớp nhỏ?). KHÔNG bao gồm trường hợp ngoại lệ — lo âu chia ly KHÔNG khác biệt theo giới.</w:t>
            </w:r>
          </w:p>
        </w:tc>
      </w:tr>
      <w:tr>
        <w:tc>
          <w:tcPr>
            <w:tcW w:type="dxa" w:w="3135"/>
          </w:tcPr>
          <w:p>
            <w:r>
              <w:rPr>
                <w:rFonts w:ascii="Times New Roman" w:hAnsi="Times New Roman"/>
                <w:sz w:val="22"/>
              </w:rPr>
              <w:t>H3: Yếu tố nguy cơ MẠNH HƠN yếu tố bảo vệ</w:t>
            </w:r>
          </w:p>
        </w:tc>
        <w:tc>
          <w:tcPr>
            <w:tcW w:type="dxa" w:w="3135"/>
          </w:tcPr>
          <w:p>
            <w:r>
              <w:rPr>
                <w:rFonts w:ascii="Times New Roman" w:hAnsi="Times New Roman"/>
                <w:sz w:val="22"/>
              </w:rPr>
              <w:t>BẤT THƯỜNG về mặt phương pháp luận</w:t>
            </w:r>
          </w:p>
        </w:tc>
        <w:tc>
          <w:tcPr>
            <w:tcW w:type="dxa" w:w="3135"/>
          </w:tcPr>
          <w:p>
            <w:r>
              <w:rPr>
                <w:rFonts w:ascii="Times New Roman" w:hAnsi="Times New Roman"/>
                <w:sz w:val="22"/>
              </w:rPr>
              <w:t>So sánh "tổng cường độ" hai nhóm yếu tố là khó kiểm định trước. Bỏ sót CHIỀU tác động của từng yếu tố cụ thể (ALHT dương; TTr âm; HTCM âm...). Phù hợp post-hoc, không phù hợp a priori.</w:t>
            </w:r>
          </w:p>
        </w:tc>
      </w:tr>
    </w:tbl>
    <w:p>
      <w:pPr>
        <w:ind w:firstLine="567"/>
        <w:jc w:val="both"/>
      </w:pPr>
      <w:r>
        <w:rPr>
          <w:color w:val="000000"/>
          <w:sz w:val="26"/>
        </w:rPr>
      </w:r>
    </w:p>
    <w:p>
      <w:r>
        <w:rPr>
          <w:b/>
          <w:color w:val="000000"/>
          <w:sz w:val="26"/>
        </w:rPr>
        <w:t>2. Đề xuất tám giả thuyết chỉnh sửa</w:t>
      </w:r>
    </w:p>
    <w:p>
      <w:pPr>
        <w:ind w:firstLine="567"/>
        <w:jc w:val="both"/>
      </w:pPr>
      <w:r>
        <w:rPr>
          <w:color w:val="000000"/>
          <w:sz w:val="26"/>
        </w:rPr>
        <w:t>Trên cơ sở kết quả nghiên cứu thực tế của chương 3 và y văn hỗ trợ, đề xuất tám giả thuyết được tổ chức theo bốn nhóm — mức độ và biểu hiện, khác biệt nhân khẩu, yếu tố ảnh hưởng, và biện pháp đối phó. Mỗi giả thuyết nêu rõ HƯỚNG dự đoán và CƠ SỞ y văn dẫn dắt — đáp ứng chuẩn a priori prediction theo Creswell (2014).</w:t>
      </w:r>
    </w:p>
    <w:p>
      <w:r>
        <w:rPr>
          <w:b/>
          <w:color w:val="000000"/>
          <w:sz w:val="26"/>
        </w:rPr>
        <w:t>2.1. Nhóm giả thuyết về mức độ và biểu hiện rối loạn lo âu</w:t>
      </w:r>
    </w:p>
    <w:p>
      <w:pPr>
        <w:ind w:firstLine="567"/>
        <w:jc w:val="both"/>
      </w:pPr>
      <w:r>
        <w:rPr>
          <w:color w:val="000000"/>
          <w:sz w:val="26"/>
        </w:rPr>
        <w:t>Giả thuyết H1 — Trong ba dạng rối loạn lo âu được đo lường ở học sinh trung học cơ sở Việt Nam, lo âu TỔNG QUÁT có cường độ cao nhất, tiếp theo là lo âu XÃ HỘI, và thấp nhất là lo âu CHIA LY. Cơ sở: tổng quan của Beesdo, Knappe và Pine (2009) về phát triển lo âu ở vị thành niên — Generalized Anxiety và Social Anxiety tăng từ tuổi 11 trong khi Separation Anxiety đã qua đỉnh ở tuổi 7–9. Phù hợp với khung developmental psychopathology — lứa tuổi 11–15 đang chuyển dịch giai đoạn lo âu chính.</w:t>
      </w:r>
    </w:p>
    <w:p>
      <w:pPr>
        <w:ind w:firstLine="567"/>
        <w:jc w:val="both"/>
      </w:pPr>
      <w:r>
        <w:rPr>
          <w:color w:val="000000"/>
          <w:sz w:val="26"/>
        </w:rPr>
        <w:t>Giả thuyết H2 — Mệnh đề liên quan đến THẤT BẠI HỌC TẬP và áp lực thành tích có điểm trung bình CAO HƠN các mệnh đề khác trong thang đo lo âu tổng quát. Cơ sở: Khảo sát PISA 2015 của OECD ghi nhận 66% học sinh lo về điểm kém và 55% lo về kiểm tra dù chuẩn bị tốt (Pascoe, Hetrick &amp; Parker, 2020); văn hóa giáo dục Á Châu nhấn mạnh perfectionism (Wen và cộng sự, 2020).</w:t>
      </w:r>
    </w:p>
    <w:p>
      <w:r>
        <w:rPr>
          <w:b/>
          <w:color w:val="000000"/>
          <w:sz w:val="26"/>
        </w:rPr>
        <w:t>2.2. Nhóm giả thuyết về khác biệt nhân khẩu học</w:t>
      </w:r>
    </w:p>
    <w:p>
      <w:pPr>
        <w:ind w:firstLine="567"/>
        <w:jc w:val="both"/>
      </w:pPr>
      <w:r>
        <w:rPr>
          <w:color w:val="000000"/>
          <w:sz w:val="26"/>
        </w:rPr>
        <w:t>Giả thuyết H3a — Học sinh nữ có điểm rối loạn lo âu tổng quát và lo âu xã hội CAO HƠN học sinh nam. Cơ sở: tổng quan hệ thống của McLean, Asnaani, Litz và Hofmann (2011) cùng phân tích tổng hợp của Salk, Hyde và Abramson (2017) khẳng định nữ &gt; nam ở GAD và Social Anxiety với tỷ số nguy cơ ~1,5–2 lần, chênh lệch mở rộng sau dậy thì.</w:t>
      </w:r>
    </w:p>
    <w:p>
      <w:pPr>
        <w:ind w:firstLine="567"/>
        <w:jc w:val="both"/>
      </w:pPr>
      <w:r>
        <w:rPr>
          <w:color w:val="000000"/>
          <w:sz w:val="26"/>
        </w:rPr>
        <w:t>Giả thuyết H3b — Khác biệt giới tính KHÔNG xuất hiện ở lo âu chia ly. Cơ sở: Allen, Lavallee, Herren, Ruhe và Schneider (2010) cho thấy Separation Anxiety Disorder ít chịu ảnh hưởng giới hơn so với GAD và Social Anxiety ở vị thành niên — cơ chế sinh học liên quan hệ thống gắn bó (attachment system), vốn ít biến đổi theo giới.</w:t>
      </w:r>
    </w:p>
    <w:p>
      <w:pPr>
        <w:ind w:firstLine="567"/>
        <w:jc w:val="both"/>
      </w:pPr>
      <w:r>
        <w:rPr>
          <w:color w:val="000000"/>
          <w:sz w:val="26"/>
        </w:rPr>
        <w:t>Giả thuyết H4 — Lo âu tổng quát và lo âu xã hội TĂNG dần theo khối lớp (lớp 6 → lớp 9), trong khi lo âu chia ly GIẢM dần. Cơ sở: developmental psychopathology của Beesdo, Knappe và Pine (2009) cùng mô hình của Rapee và Spence (2004) về phát triển lo âu xã hội theo dậy thì khi tự nhận thức xã hội tăng. Nói cách khác, ba dạng lo âu có quỹ đạo phát triển khác nhau theo tuổi — phù hợp với khung sinh-tâm-xã hội.</w:t>
      </w:r>
    </w:p>
    <w:p>
      <w:r>
        <w:rPr>
          <w:b/>
          <w:color w:val="000000"/>
          <w:sz w:val="26"/>
        </w:rPr>
        <w:t>2.3. Nhóm giả thuyết về yếu tố ảnh hưởng</w:t>
      </w:r>
    </w:p>
    <w:p>
      <w:pPr>
        <w:ind w:firstLine="567"/>
        <w:jc w:val="both"/>
      </w:pPr>
      <w:r>
        <w:rPr>
          <w:color w:val="000000"/>
          <w:sz w:val="26"/>
        </w:rPr>
        <w:t>Giả thuyết H5 — Trong các yếu tố nguy cơ, áp lực học tập có cường độ TÁC ĐỘNG MẠNH NHẤT đến rối loạn lo âu, với hệ số chuẩn hóa β &gt; 0,4. Cơ sở: Wen và cộng sự (2020) tại Trung Quốc nông thôn ghi nhận OR = 11,58 (KTC 95% từ 4,16 đến 32,19) cho áp lực rất cao; Trần Thảo Vi và cộng sự (2024) tại Huế ghi nhận β = 4,73 cho học thêm; tổng quan của Pascoe, Hetrick và Parker (2020) khẳng định áp lực học tập là yếu tố nguy cơ chính ở vị thành niên Á Châu.</w:t>
      </w:r>
    </w:p>
    <w:p>
      <w:pPr>
        <w:ind w:firstLine="567"/>
        <w:jc w:val="both"/>
      </w:pPr>
      <w:r>
        <w:rPr>
          <w:color w:val="000000"/>
          <w:sz w:val="26"/>
        </w:rPr>
        <w:t>Giả thuyết H6 — Tự trọng có cường độ tác động bảo vệ NGANG BẰNG với cường độ tác động nguy cơ của áp lực học tập, không yếu hơn như giả định thông thường. Cơ sở: phân tích tổng hợp của Cai và cộng sự (2025) trên các thử nghiệm ngẫu nhiên có đối chứng can thiệp resilience tại trường — xác định tự trọng là thành phần trung tâm của resilience cùng với kỹ năng ứng phó, kết nối xã hội và lạc quan; khung resilience toàn cầu của Masten (2014) khẳng định tự trọng là một trong các "ordinary magic" — yếu tố nội tại bảo vệ trẻ em trước nghịch cảnh. Phát hiện này có hàm ý CRITICAL — chiến lược can thiệp không nên tập trung đơn trục vào giảm áp lực mà cần SONG TRỤC kết hợp tăng tự trọng.</w:t>
      </w:r>
    </w:p>
    <w:p>
      <w:pPr>
        <w:ind w:firstLine="567"/>
        <w:jc w:val="both"/>
      </w:pPr>
      <w:r>
        <w:rPr>
          <w:color w:val="000000"/>
          <w:sz w:val="26"/>
        </w:rPr>
        <w:t>Giả thuyết H7 — Khoảng trống giao tiếp giữa cha mẹ và con là rào cản chính trong việc phát huy hiệu ứng bảo vệ của hỗ trợ gia đình; cụ thể, mức độ "hỗ trợ cha mẹ cảm nhận" cao nhưng "khả năng chia sẻ với gia đình" THẤP HƠN rõ rệt. Cơ sở: Khảo sát Sức khỏe Tâm thần Vị thành niên Việt Nam (V-NAMHS) ghi nhận chỉ 5,1% phụ huynh xác định được con cần trợ giúp tâm lý (UNICEF Việt Nam, 2022) — phản ánh khoảng cách hệ thống giữa ý định hỗ trợ và khả năng nhận biết nhu cầu của con.</w:t>
      </w:r>
    </w:p>
    <w:p>
      <w:r>
        <w:rPr>
          <w:b/>
          <w:color w:val="000000"/>
          <w:sz w:val="26"/>
        </w:rPr>
        <w:t>2.4. Nhóm giả thuyết về biện pháp đối phó</w:t>
      </w:r>
    </w:p>
    <w:p>
      <w:pPr>
        <w:ind w:firstLine="567"/>
        <w:jc w:val="both"/>
      </w:pPr>
      <w:r>
        <w:rPr>
          <w:color w:val="000000"/>
          <w:sz w:val="26"/>
        </w:rPr>
        <w:t>Giả thuyết H8 — TẦN SUẤT sử dụng biện pháp đối phó KHÔNG đồng nghĩa với CHẤT LƯỢNG đối phó; do đó, tăng tần suất KHÔNG tự động làm GIẢM rối loạn lo âu, và ở một số trường hợp có thể đi đôi với lo âu cao hơn. Cơ sở: tổng quan của Compas, Jaser, Bettis và cộng sự (2017) trong Psychological Bulletin về hiện tượng MALADAPTIVE COPING ESCALATION — học sinh càng lo âu càng dùng nhiều chiến lược đối phó, nhưng nếu chiến lược không hiệu quả thì lo âu vẫn duy trì. Phù hợp với mô hình 14 nhân tố của Brief-COPE (Carver, 1997) phân biệt rõ chiến lược adaptive (problem-focused, support-seeking) với maladaptive (avoidance, self-blame, rumination).</w:t>
      </w:r>
    </w:p>
    <w:p>
      <w:r>
        <w:rPr>
          <w:b/>
          <w:color w:val="000000"/>
          <w:sz w:val="26"/>
        </w:rPr>
        <w:t>3. So sánh trực tiếp giả thuyết cũ và giả thuyết chỉnh sửa</w:t>
      </w:r>
    </w:p>
    <w:p>
      <w:pPr>
        <w:jc w:val="center"/>
      </w:pPr>
      <w:r>
        <w:rPr>
          <w:b/>
          <w:sz w:val="24"/>
        </w:rPr>
        <w:t>Bảng 2. Đối chiếu ba giả thuyết hiện tại với tám giả thuyết chỉnh sửa</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Giả thuyết hiện tại</w:t>
            </w:r>
          </w:p>
        </w:tc>
        <w:tc>
          <w:tcPr>
            <w:tcW w:type="dxa" w:w="3135"/>
          </w:tcPr>
          <w:p>
            <w:r>
              <w:rPr>
                <w:rFonts w:ascii="Times New Roman" w:hAnsi="Times New Roman"/>
                <w:sz w:val="22"/>
              </w:rPr>
              <w:t>Giả thuyết chỉnh sửa</w:t>
            </w:r>
          </w:p>
        </w:tc>
        <w:tc>
          <w:tcPr>
            <w:tcW w:type="dxa" w:w="3135"/>
          </w:tcPr>
          <w:p>
            <w:r>
              <w:rPr>
                <w:rFonts w:ascii="Times New Roman" w:hAnsi="Times New Roman"/>
                <w:sz w:val="22"/>
              </w:rPr>
              <w:t>Cải thiện chính</w:t>
            </w:r>
          </w:p>
        </w:tc>
      </w:tr>
      <w:tr>
        <w:tc>
          <w:tcPr>
            <w:tcW w:type="dxa" w:w="3135"/>
          </w:tcPr>
          <w:p>
            <w:r>
              <w:rPr>
                <w:rFonts w:ascii="Times New Roman" w:hAnsi="Times New Roman"/>
                <w:sz w:val="22"/>
              </w:rPr>
              <w:t>H1 (cũ): Có khác biệt giữa 3 dạng RLLA</w:t>
            </w:r>
          </w:p>
        </w:tc>
        <w:tc>
          <w:tcPr>
            <w:tcW w:type="dxa" w:w="3135"/>
          </w:tcPr>
          <w:p>
            <w:r>
              <w:rPr>
                <w:rFonts w:ascii="Times New Roman" w:hAnsi="Times New Roman"/>
                <w:sz w:val="22"/>
              </w:rPr>
              <w:t>H1 (mới): Tổng quát &gt; xã hội &gt; chia ly</w:t>
            </w:r>
          </w:p>
        </w:tc>
        <w:tc>
          <w:tcPr>
            <w:tcW w:type="dxa" w:w="3135"/>
          </w:tcPr>
          <w:p>
            <w:r>
              <w:rPr>
                <w:rFonts w:ascii="Times New Roman" w:hAnsi="Times New Roman"/>
                <w:sz w:val="22"/>
              </w:rPr>
              <w:t>Nêu HƯỚNG cụ thể, dẫn Beesdo 2009</w:t>
            </w:r>
          </w:p>
        </w:tc>
      </w:tr>
      <w:tr>
        <w:tc>
          <w:tcPr>
            <w:tcW w:type="dxa" w:w="3135"/>
          </w:tcPr>
          <w:p>
            <w:r>
              <w:rPr>
                <w:rFonts w:ascii="Times New Roman" w:hAnsi="Times New Roman"/>
                <w:sz w:val="22"/>
              </w:rPr>
              <w:t>—</w:t>
            </w:r>
          </w:p>
        </w:tc>
        <w:tc>
          <w:tcPr>
            <w:tcW w:type="dxa" w:w="3135"/>
          </w:tcPr>
          <w:p>
            <w:r>
              <w:rPr>
                <w:rFonts w:ascii="Times New Roman" w:hAnsi="Times New Roman"/>
                <w:sz w:val="22"/>
              </w:rPr>
              <w:t>H2 (mới): Mệnh đề thất bại học tập có ĐTB cao nhất</w:t>
            </w:r>
          </w:p>
        </w:tc>
        <w:tc>
          <w:tcPr>
            <w:tcW w:type="dxa" w:w="3135"/>
          </w:tcPr>
          <w:p>
            <w:r>
              <w:rPr>
                <w:rFonts w:ascii="Times New Roman" w:hAnsi="Times New Roman"/>
                <w:sz w:val="22"/>
              </w:rPr>
              <w:t>Bổ sung — chi tiết phát hiện cụ thể</w:t>
            </w:r>
          </w:p>
        </w:tc>
      </w:tr>
      <w:tr>
        <w:tc>
          <w:tcPr>
            <w:tcW w:type="dxa" w:w="3135"/>
          </w:tcPr>
          <w:p>
            <w:r>
              <w:rPr>
                <w:rFonts w:ascii="Times New Roman" w:hAnsi="Times New Roman"/>
                <w:sz w:val="22"/>
              </w:rPr>
              <w:t>H2 (cũ): Có khác biệt theo giới và khối</w:t>
            </w:r>
          </w:p>
        </w:tc>
        <w:tc>
          <w:tcPr>
            <w:tcW w:type="dxa" w:w="3135"/>
          </w:tcPr>
          <w:p>
            <w:r>
              <w:rPr>
                <w:rFonts w:ascii="Times New Roman" w:hAnsi="Times New Roman"/>
                <w:sz w:val="22"/>
              </w:rPr>
              <w:t>H3a + H3b + H4 (mới)</w:t>
            </w:r>
          </w:p>
        </w:tc>
        <w:tc>
          <w:tcPr>
            <w:tcW w:type="dxa" w:w="3135"/>
          </w:tcPr>
          <w:p>
            <w:r>
              <w:rPr>
                <w:rFonts w:ascii="Times New Roman" w:hAnsi="Times New Roman"/>
                <w:sz w:val="22"/>
              </w:rPr>
              <w:t>Tách thành ba giả thuyết riêng, nêu HƯỚNG, ghi nhận ngoại lệ</w:t>
            </w:r>
          </w:p>
        </w:tc>
      </w:tr>
      <w:tr>
        <w:tc>
          <w:tcPr>
            <w:tcW w:type="dxa" w:w="3135"/>
          </w:tcPr>
          <w:p>
            <w:r>
              <w:rPr>
                <w:rFonts w:ascii="Times New Roman" w:hAnsi="Times New Roman"/>
                <w:sz w:val="22"/>
              </w:rPr>
              <w:t>H3 (cũ): Nguy cơ mạnh hơn bảo vệ</w:t>
            </w:r>
          </w:p>
        </w:tc>
        <w:tc>
          <w:tcPr>
            <w:tcW w:type="dxa" w:w="3135"/>
          </w:tcPr>
          <w:p>
            <w:r>
              <w:rPr>
                <w:rFonts w:ascii="Times New Roman" w:hAnsi="Times New Roman"/>
                <w:sz w:val="22"/>
              </w:rPr>
              <w:t>H5 + H6 + H7 (mới)</w:t>
            </w:r>
          </w:p>
        </w:tc>
        <w:tc>
          <w:tcPr>
            <w:tcW w:type="dxa" w:w="3135"/>
          </w:tcPr>
          <w:p>
            <w:r>
              <w:rPr>
                <w:rFonts w:ascii="Times New Roman" w:hAnsi="Times New Roman"/>
                <w:sz w:val="22"/>
              </w:rPr>
              <w:t>Thay so sánh tổng cường độ bằng nêu yếu tố cụ thể có |β| &gt; 0,4</w:t>
            </w:r>
          </w:p>
        </w:tc>
      </w:tr>
      <w:tr>
        <w:tc>
          <w:tcPr>
            <w:tcW w:type="dxa" w:w="3135"/>
          </w:tcPr>
          <w:p>
            <w:r>
              <w:rPr>
                <w:rFonts w:ascii="Times New Roman" w:hAnsi="Times New Roman"/>
                <w:sz w:val="22"/>
              </w:rPr>
              <w:t>—</w:t>
            </w:r>
          </w:p>
        </w:tc>
        <w:tc>
          <w:tcPr>
            <w:tcW w:type="dxa" w:w="3135"/>
          </w:tcPr>
          <w:p>
            <w:r>
              <w:rPr>
                <w:rFonts w:ascii="Times New Roman" w:hAnsi="Times New Roman"/>
                <w:sz w:val="22"/>
              </w:rPr>
              <w:t>H8 (mới): Biện pháp đối phó tăng KHÔNG = lo âu giảm</w:t>
            </w:r>
          </w:p>
        </w:tc>
        <w:tc>
          <w:tcPr>
            <w:tcW w:type="dxa" w:w="3135"/>
          </w:tcPr>
          <w:p>
            <w:r>
              <w:rPr>
                <w:rFonts w:ascii="Times New Roman" w:hAnsi="Times New Roman"/>
                <w:sz w:val="22"/>
              </w:rPr>
              <w:t>Bổ sung — phản ánh phát hiện chương 3.5 + Compas 2017</w:t>
            </w:r>
          </w:p>
        </w:tc>
      </w:tr>
    </w:tbl>
    <w:p>
      <w:pPr>
        <w:ind w:firstLine="567"/>
        <w:jc w:val="both"/>
      </w:pPr>
      <w:r>
        <w:rPr>
          <w:color w:val="000000"/>
          <w:sz w:val="26"/>
        </w:rPr>
      </w:r>
    </w:p>
    <w:p>
      <w:pPr>
        <w:ind w:firstLine="567"/>
        <w:jc w:val="both"/>
      </w:pPr>
      <w:r>
        <w:rPr>
          <w:color w:val="000000"/>
          <w:sz w:val="26"/>
        </w:rPr>
        <w:t>Bảng 2 cho thấy ba giả thuyết hiện tại được mở rộng thành tám giả thuyết — tăng tính chính xác (nêu hướng), bao quát đầy đủ phát hiện (thêm BPĐP và khoảng trống giao tiếp), và đáp ứng chuẩn falsifiability (mỗi giả thuyết có thể bị bác bỏ bằng dữ liệu cụ thể). Phù hợp với nguyên tắc thiết kế nghiên cứu định lượng theo Creswell (2014) — giả thuyết cần được phát biểu RÕ RÀNG, có thể KIỂM ĐỊNH, và DẪN dắt từ tổng quan tài liệu trước đó.</w:t>
      </w:r>
    </w:p>
    <w:p>
      <w:r>
        <w:rPr>
          <w:b/>
          <w:color w:val="000000"/>
          <w:sz w:val="26"/>
        </w:rPr>
        <w:t>4. Khung lý thuyết tích hợp tám giả thuyết</w:t>
      </w:r>
    </w:p>
    <w:p>
      <w:pPr>
        <w:ind w:firstLine="567"/>
        <w:jc w:val="both"/>
      </w:pPr>
      <w:r>
        <w:rPr>
          <w:color w:val="000000"/>
          <w:sz w:val="26"/>
        </w:rPr>
        <w:t>Tám giả thuyết có thể được tổ chức theo khung biopsychosocial-developmental của Beesdo, Knappe và Pine (2009) kết hợp khung risk-resilience của Masten (2014). Khung này cho phép kiểm tra đồng thời ba lớp tác động — đặc điểm nhân khẩu (giới, tuổi), yếu tố môi trường (gia đình, trường học, bạn bè), và đặc điểm cá nhân (tự trọng, biện pháp đối phó) — trong một mô hình SEM duy nhất.</w:t>
      </w:r>
    </w:p>
    <w:p>
      <w:pPr>
        <w:ind w:firstLine="567"/>
        <w:jc w:val="both"/>
      </w:pPr>
      <w:r>
        <w:rPr>
          <w:color w:val="000000"/>
          <w:sz w:val="26"/>
        </w:rPr>
        <w:t>Cấu trúc này thuyết phục hơn cấu trúc mô tả thuần túy ("nghiên cứu thực trạng và yếu tố ảnh hưởng") vì cho phép người đọc theo dõi mạch lý thuyết xuyên suốt — chương 1 đặt câu hỏi và giả thuyết, chương 2 mô tả phương pháp đo lường để kiểm chứng, chương 3 báo cáo kết quả kiểm chứng từng giả thuyết, và chương 4 thảo luận hàm ý cùng đề xuất can thiệp. Nói cách khác, cấu trúc giả thuyết rõ ràng là CƠ SỞ logic đảm bảo tính chặt chẽ của toàn luận án.</w:t>
      </w:r>
    </w:p>
    <w:p>
      <w:r>
        <w:rPr>
          <w:b/>
          <w:color w:val="000000"/>
          <w:sz w:val="26"/>
        </w:rPr>
        <w:t>5. Đề xuất hình thức trình bày trong chương 1</w:t>
      </w:r>
    </w:p>
    <w:p>
      <w:pPr>
        <w:ind w:firstLine="567"/>
        <w:jc w:val="both"/>
      </w:pPr>
      <w:r>
        <w:rPr>
          <w:color w:val="000000"/>
          <w:sz w:val="26"/>
        </w:rPr>
        <w:t>Tám giả thuyết trên có thể được paste vào mục "Giả thuyết nghiên cứu" của chương 1 — sau phần tổng quan tài liệu và trước phần mục tiêu nghiên cứu. Đề xuất tổ chức theo bốn tiểu mục:</w:t>
      </w:r>
    </w:p>
    <w:p>
      <w:r>
        <w:rPr>
          <w:color w:val="000000"/>
          <w:sz w:val="26"/>
        </w:rPr>
        <w:t>1.X.1. Giả thuyết về mức độ và biểu hiện (H1 + H2)</w:t>
      </w:r>
    </w:p>
    <w:p>
      <w:r>
        <w:rPr>
          <w:color w:val="000000"/>
          <w:sz w:val="26"/>
        </w:rPr>
        <w:t>1.X.2. Giả thuyết về khác biệt nhân khẩu (H3a + H3b + H4)</w:t>
      </w:r>
    </w:p>
    <w:p>
      <w:r>
        <w:rPr>
          <w:color w:val="000000"/>
          <w:sz w:val="26"/>
        </w:rPr>
        <w:t>1.X.3. Giả thuyết về yếu tố ảnh hưởng (H5 + H6 + H7)</w:t>
      </w:r>
    </w:p>
    <w:p>
      <w:r>
        <w:rPr>
          <w:color w:val="000000"/>
          <w:sz w:val="26"/>
        </w:rPr>
        <w:t>1.X.4. Giả thuyết về biện pháp đối phó (H8)</w:t>
      </w:r>
    </w:p>
    <w:p>
      <w:pPr>
        <w:ind w:firstLine="567"/>
        <w:jc w:val="both"/>
      </w:pPr>
      <w:r>
        <w:rPr>
          <w:color w:val="000000"/>
          <w:sz w:val="26"/>
        </w:rPr>
        <w:t>Trong mỗi tiểu mục, viết theo công thức ba câu — câu thứ nhất phát biểu giả thuyết, câu thứ hai nêu cơ sở y văn dẫn dắt, câu thứ ba nêu cách kiểm chứng (ví dụ "Giả thuyết được kiểm chứng bằng kiểm định t độc lập với mức ý nghĩa α = 0,05" hoặc "...bằng mô hình phương trình cấu trúc SEM với ngưỡng |β| ≥ 0,1").</w:t>
      </w:r>
    </w:p>
    <w:p>
      <w:r>
        <w:rPr>
          <w:b/>
          <w:color w:val="000000"/>
          <w:sz w:val="26"/>
        </w:rPr>
        <w:t>6. Tài liệu tham khảo</w:t>
      </w:r>
    </w:p>
    <w:p>
      <w:r>
        <w:rPr>
          <w:color w:val="000000"/>
          <w:sz w:val="26"/>
        </w:rPr>
        <w:t>Tiếng Việt</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Creswell, J. W. (2014). Research design: Qualitative, quantitative, and mixed methods approaches (4th ed.). SAGE Publications.</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Pascoe, M. C., Hetrick, S. E., &amp; Parker, A. G. (2020). The impact of stress on students in secondary school and higher education. International Journal of Adolescence and Youth, 25(1), 104–112.</w:t>
      </w:r>
    </w:p>
    <w:p>
      <w:pPr>
        <w:ind w:left="567" w:hanging="567"/>
        <w:jc w:val="both"/>
      </w:pPr>
      <w:r>
        <w:rPr>
          <w:sz w:val="24"/>
        </w:rPr>
        <w:t>Popper, K. R. (1959). The logic of scientific discovery. Hutchinson.</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Wen, X., et al. (2020). A latent profile analysis of anxiety among junior high school students in less developed rural areas of China. International Journal of Environmental Research and Public Health, 17(11), 4079.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