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4 (BỔ SUNG)</w:t>
        <w:br/>
        <w:t>ĐỐI CHIẾU KẾT QUẢ NGHIÊN CỨU VỚI CƠ SỞ DỮ LIỆU TỔNG HỢP</w:t>
        <w:br/>
        <w:t>VÀ ĐỀ XUẤT KHUNG TẬP HUẤN CAN THIỆP</w:t>
      </w:r>
    </w:p>
    <w:p>
      <w:pPr>
        <w:ind w:firstLine="567"/>
        <w:jc w:val="both"/>
      </w:pPr>
      <w:r>
        <w:rPr>
          <w:color w:val="000000"/>
          <w:sz w:val="26"/>
        </w:rPr>
      </w:r>
    </w:p>
    <w:p>
      <w:r>
        <w:rPr>
          <w:b/>
          <w:color w:val="000000"/>
          <w:sz w:val="26"/>
        </w:rPr>
        <w:t>4.1. Đối chiếu kết quả nghiên cứu với tổng quan tài liệu</w:t>
      </w:r>
    </w:p>
    <w:p>
      <w:pPr>
        <w:ind w:firstLine="567"/>
        <w:jc w:val="both"/>
      </w:pPr>
      <w:r>
        <w:rPr>
          <w:color w:val="000000"/>
          <w:sz w:val="26"/>
        </w:rPr>
        <w:t>Rối loạn lo âu ở vị thành niên đã trở thành mối quan tâm sức khỏe công cộng toàn cầu trong thập kỷ qua. Nghiên cứu Gánh nặng Bệnh tật Toàn cầu 2021 cho thấy lo âu và trầm cảm chiếm phần lớn DALYs do rối loạn tâm thần ở nhóm 10–24 tuổi, với xu hướng TĂNG 23,6% từ 1990 đến 2021 (Bie và cộng sự, 2024). Nói cách khác, gánh nặng bệnh tật do lo âu ở thanh thiếu niên đã tăng gấp gần một phần tư trong vòng ba thập niên — một mức tăng đáng báo động đối với sức khỏe cộng đồng.</w:t>
      </w:r>
    </w:p>
    <w:p>
      <w:pPr>
        <w:ind w:firstLine="567"/>
        <w:jc w:val="both"/>
      </w:pPr>
      <w:r>
        <w:rPr>
          <w:color w:val="000000"/>
          <w:sz w:val="26"/>
        </w:rPr>
        <w:t>Tại khu vực Đông Nam Á, GBD ASEAN Mental Disorders Collaborators (2025) ghi nhận 11,2 triệu DALYs do rối loạn tâm thần năm 2021, trong đó lo âu chiếm 31,0% — cao nhất trong tất cả các rối loạn được phân tích. Nhóm 10–14 tuổi chịu gánh nặng CAO NHẤT với 16,3% tổng DALYs ở nhóm tuổi này. Phù hợp với xu hướng toàn cầu, lo âu là rối loạn dẫn đầu ở thanh thiếu niên ASEAN.</w:t>
      </w:r>
    </w:p>
    <w:p>
      <w:pPr>
        <w:ind w:firstLine="567"/>
        <w:jc w:val="both"/>
      </w:pPr>
      <w:r>
        <w:rPr>
          <w:color w:val="000000"/>
          <w:sz w:val="26"/>
        </w:rPr>
        <w:t>Tại Việt Nam, Khảo sát Sức khỏe Tâm thần Vị thành niên (V-NAMHS) năm 2022 trên 5.996 vị thành niên 10–17 tuổi ghi nhận 21,7% có vấn đề sức khỏe tâm thần trong 12 tháng qua, trong đó lo âu là rối loạn phổ biến nhất (UNICEF Việt Nam, 2022). Nghiên cứu của chúng tôi trên 1.352 học sinh trung học cơ sở khối 6–9 góp phần làm rõ thêm bức tranh này — không chỉ về tỷ lệ mà còn về mẫu hình phát triển theo giới tính, khối lớp và các yếu tố nguy cơ–bảo vệ.</w:t>
      </w:r>
    </w:p>
    <w:p>
      <w:r>
        <w:rPr>
          <w:b/>
          <w:color w:val="000000"/>
          <w:sz w:val="26"/>
        </w:rPr>
        <w:t>4.1.1. Mức độ và biểu hiện rối loạn lo âu</w:t>
      </w:r>
    </w:p>
    <w:p>
      <w:pPr>
        <w:ind w:firstLine="567"/>
        <w:jc w:val="both"/>
      </w:pPr>
      <w:r>
        <w:rPr>
          <w:color w:val="000000"/>
          <w:sz w:val="26"/>
        </w:rPr>
        <w:t>Kết quả khảo sát cho thấy ba dạng rối loạn lo âu có cường độ và phân bố KHÁC BIỆT rõ rệt. Lo âu tổng quát có điểm trung bình cao nhất (45,86–64,28), tiếp theo là lo âu xã hội (42,09–56,98), và thấp nhất là lo âu chia ly (21,52–27,88). Phù hợp với tổng quan của Beesdo, Knappe và Pine (2009) về phát triển lo âu ở vị thành niên — lứa tuổi 11–15 đã qua đỉnh của Separation Anxiety Disorder và đang chuyển sang giai đoạn nổi trội của lo âu tổng quát và lo âu xã hội.</w:t>
      </w:r>
    </w:p>
    <w:p>
      <w:pPr>
        <w:ind w:firstLine="567"/>
        <w:jc w:val="both"/>
      </w:pPr>
      <w:r>
        <w:rPr>
          <w:color w:val="000000"/>
          <w:sz w:val="26"/>
        </w:rPr>
        <w:t>Mệnh đề "lo lắng khi nghĩ rằng mình đã không làm tốt điều gì đó" có điểm trung bình CAO NHẤT (ĐTB = 64,28). Phát hiện này nhất quán với khảo sát PISA 2015 của OECD trên 540.000 học sinh 72 quốc gia — 66% học sinh lo lắng về điểm kém và 55% rất lo lắng về kiểm tra ngay cả khi đã chuẩn bị tốt (Pascoe, Hetrick &amp; Parker, 2020). Nói cách khác, lo lắng về thất bại là biểu hiện cốt lõi của lo âu học sinh trên phạm vi toàn cầu, không riêng Việt Nam.</w:t>
      </w:r>
    </w:p>
    <w:p>
      <w:pPr>
        <w:ind w:firstLine="567"/>
        <w:jc w:val="both"/>
      </w:pPr>
      <w:r>
        <w:rPr>
          <w:color w:val="000000"/>
          <w:sz w:val="26"/>
        </w:rPr>
        <w:t>Mệnh đề "lo lắng điều tệ xảy ra với gia đình" (ĐTB = 59,62) đứng thứ ba — củng cố vai trò trung tâm của yếu tố gia đình trong lo âu học sinh trung học cơ sở Việt Nam. Phù hợp với Đinh và cộng sự (2021) khi xác định các yếu tố trường học và gia đình là nguồn gây lo âu chính ở vị thành niên Việt Nam. Trong văn hóa Á Châu, sự gắn kết liên thế hệ tạo cả nguồn hỗ trợ và áp lực cho học sinh.</w:t>
      </w:r>
    </w:p>
    <w:p>
      <w:r>
        <w:rPr>
          <w:b/>
          <w:color w:val="000000"/>
          <w:sz w:val="26"/>
        </w:rPr>
        <w:t>4.1.2. Khác biệt theo giới tính và khối lớp</w:t>
      </w:r>
    </w:p>
    <w:p>
      <w:pPr>
        <w:ind w:firstLine="567"/>
        <w:jc w:val="both"/>
      </w:pPr>
      <w:r>
        <w:rPr>
          <w:color w:val="000000"/>
          <w:sz w:val="26"/>
        </w:rPr>
        <w:t>Phân tích phương sai cho thấy học sinh nữ có điểm cao hơn nam ở ba trong bốn chỉ số rối loạn lo âu. Cụ thể, lo âu tổng quát (M = 59,47 so với 51,43; F = 44,484; p &lt; 0,01), lo âu xã hội (M = 52,74 so với 43,20; F = 45,984; p &lt; 0,01) và rối loạn lo âu tổng (M = 45,66 so với 40,02) đều cao hơn ở nữ. Phù hợp với tổng quan hệ thống của McLean, Asnaani, Litz và Hofmann (2011) và phân tích tổng hợp của Salk, Hyde và Abramson (2017) — nữ giới có tỷ số nguy cơ lo âu cao hơn nam khoảng 1,5–2 lần, với chênh lệch mở rộng sau dậy thì.</w:t>
      </w:r>
    </w:p>
    <w:p>
      <w:pPr>
        <w:ind w:firstLine="567"/>
        <w:jc w:val="both"/>
      </w:pPr>
      <w:r>
        <w:rPr>
          <w:color w:val="000000"/>
          <w:sz w:val="26"/>
        </w:rPr>
        <w:t>Tại Việt Nam, kết quả của Hoa và cộng sự (2024) trên 3.910 học sinh trung học phổ thông Hà Nội cũng xác nhận xu hướng này (nữ 43,8% so với nam 36,9%). Nghiên cứu của chúng tôi mở rộng phát hiện đó xuống nhóm trung học cơ sở — cho thấy chênh lệch giới đã hiện diện ngay từ lớp 6 và duy trì xuyên suốt khối 6–9.</w:t>
      </w:r>
    </w:p>
    <w:p>
      <w:pPr>
        <w:ind w:firstLine="567"/>
        <w:jc w:val="both"/>
      </w:pPr>
      <w:r>
        <w:rPr>
          <w:color w:val="000000"/>
          <w:sz w:val="26"/>
        </w:rPr>
        <w:t>Đáng chú ý, lo âu chia ly KHÔNG có khác biệt theo giới (F = 0,246; p = 0,620) — TRÁI với mẫu hình ba chỉ số còn lại. Phù hợp với Allen và cộng sự (2010) khi cho thấy Separation Anxiety Disorder ít chịu ảnh hưởng giới hơn so với Generalized Anxiety và Social Anxiety ở vị thành niên. Cơ chế sinh học của lo âu chia ly liên quan nhiều đến hệ thống gắn bó (attachment system) — vốn ít biến đổi theo giới ở lứa tuổi này.</w:t>
      </w:r>
    </w:p>
    <w:p>
      <w:pPr>
        <w:ind w:firstLine="567"/>
        <w:jc w:val="both"/>
      </w:pPr>
      <w:r>
        <w:rPr>
          <w:color w:val="000000"/>
          <w:sz w:val="26"/>
        </w:rPr>
        <w:t>Đối với khối lớp, ba xu hướng đối lập được ghi nhận. Lo âu tổng quát TĂNG dần từ lớp 6 (M = 54,32) đến lớp 9 (M = 59,79; F = 5,020; p = 0,002). Ngược lại, lo âu chia ly GIẢM mạnh từ lớp 6 (M = 32,13) xuống lớp 9 (M = 19,46; F = 21,239; p &lt; 0,001) — chỉ số có khác biệt khối lớp RÕ RỆT NHẤT. Lo âu xã hội đạt đỉnh ở lớp 9 (M = 53,05; F = 4,879; p = 0,002). Mẫu hình ba xu hướng này nhất quán với developmental psychopathology của Beesdo, Knappe và Pine (2009) — lo âu chia ly giảm khi trẻ phát triển sự độc lập, trong khi lo âu tổng quát và lo âu xã hội tăng theo dậy thì khi tự nhận thức xã hội phát triển (Rapee &amp; Spence, 2004).</w:t>
      </w:r>
    </w:p>
    <w:p>
      <w:r>
        <w:rPr>
          <w:b/>
          <w:color w:val="000000"/>
          <w:sz w:val="26"/>
        </w:rPr>
        <w:t>4.1.3. Yếu tố nguy cơ</w:t>
      </w:r>
    </w:p>
    <w:p>
      <w:pPr>
        <w:ind w:firstLine="567"/>
        <w:jc w:val="both"/>
      </w:pPr>
      <w:r>
        <w:rPr>
          <w:color w:val="000000"/>
          <w:sz w:val="26"/>
        </w:rPr>
        <w:t>Áp lực học tập là yếu tố nguy cơ NỔI BẬT NHẤT với điểm trung bình cao nhất (ĐTB = 51,13). Trong nhóm này, mệnh đề "kỳ vọng học tập và định hướng tương lai" có ĐTB = 58,56 — vượt xa các mệnh đề còn lại. Phát hiện này có ý nghĩa quan trọng — học sinh trung học cơ sở Việt Nam độ tuổi 11–15 đã chịu áp lực sự nghiệp tương lai sớm hơn giả định thông thường rằng áp lực này chỉ xuất hiện ở khối trung học phổ thông chuẩn bị thi đại học.</w:t>
      </w:r>
    </w:p>
    <w:p>
      <w:pPr>
        <w:ind w:firstLine="567"/>
        <w:jc w:val="both"/>
      </w:pPr>
      <w:r>
        <w:rPr>
          <w:color w:val="000000"/>
          <w:sz w:val="26"/>
        </w:rPr>
        <w:t>Phù hợp với nghiên cứu thuần tập Hue Healthy Adolescent Cohort của Trần Thảo Vi và cộng sự (2024) trên 341 học sinh trung học cơ sở Huế — căng thẳng học tập TĂNG 15,3% từ lớp 6 đến lớp 9, với học thêm là yếu tố dự báo mạnh nhất (β = 4,73). Tại Trung Quốc, Wen và cộng sự (2020) trên 900 học sinh trung học cơ sở nông thôn xác định áp lực học tập là yếu tố nguy cơ chính, với tỷ số chênh OR = 11,58 (KTC 95% từ 4,16 đến 32,19) cho mức áp lực rất cao so với rất thấp. Nói cách khác, học sinh chịu áp lực rất cao có khả năng bị lo âu nặng cao hơn ÍT NHẤT 4 lần ở mức tin cậy 95%.</w:t>
      </w:r>
    </w:p>
    <w:p>
      <w:pPr>
        <w:ind w:firstLine="567"/>
        <w:jc w:val="both"/>
      </w:pPr>
      <w:r>
        <w:rPr>
          <w:color w:val="000000"/>
          <w:sz w:val="26"/>
        </w:rPr>
        <w:t>Nghiện điện thoại đứng thứ hai trong nhóm nguy cơ, với hành vi "kiểm tra điện thoại liên tục" có ĐTB = 35,92. Củng cố thêm thử nghiệm ngẫu nhiên có đối chứng SCREENS-Kids của Schmidt-Persson và cộng sự (2024) — hạn chế sử dụng màn hình giải trí trong 14 ngày làm cải thiện đáng kể vấn đề tâm lý nội hóa. Tại Na Uy, Brunborg và cộng sự (2025) trên 979.043 học sinh xác nhận thời gian sử dụng mạng xã hội tăng giải thích phần lớn xu hướng tăng distress ở học sinh nữ giai đoạn 2014–2024.</w:t>
      </w:r>
    </w:p>
    <w:p>
      <w:pPr>
        <w:ind w:firstLine="567"/>
        <w:jc w:val="both"/>
      </w:pPr>
      <w:r>
        <w:rPr>
          <w:color w:val="000000"/>
          <w:sz w:val="26"/>
        </w:rPr>
        <w:t>Bắt nạt học đường có điểm thấp hơn nhưng vẫn hiện diện trong toàn mẫu. Đáng chú ý, mô hình SEM cho thấy bắt nạt học đường có tác động dương đến cả ba dạng rối loạn lo âu — cao nhất là lo âu chia ly (β = 0,376; p &lt; 0,001), tiếp theo là lo âu xã hội (β = 0,253; p &lt; 0,001) và lo âu tổng quát (β = 0,215; p &lt; 0,001). Phù hợp với Brown và Carter (2025) trên các trường trung học cơ sở Anh — học sinh từng bị bắt nạt có nguy cơ lo âu lâm sàng tăng đáng kể.</w:t>
      </w:r>
    </w:p>
    <w:p>
      <w:r>
        <w:rPr>
          <w:b/>
          <w:color w:val="000000"/>
          <w:sz w:val="26"/>
        </w:rPr>
        <w:t>4.1.4. Yếu tố bảo vệ</w:t>
      </w:r>
    </w:p>
    <w:p>
      <w:pPr>
        <w:ind w:firstLine="567"/>
        <w:jc w:val="both"/>
      </w:pPr>
      <w:r>
        <w:rPr>
          <w:color w:val="000000"/>
          <w:sz w:val="26"/>
        </w:rPr>
        <w:t>Hỗ trợ từ cha mẹ có điểm trung bình CAO NHẤT trong nhóm bảo vệ (ĐTB = 57,65), tuy nhiên khả năng chia sẻ với gia đình lại có mức THẤP HƠN (ĐTB = 47,54). Khoảng trống giao tiếp giữa cha mẹ và con là phát hiện quan trọng — nói cách khác, mặc dù cha mẹ có ý thức hỗ trợ, học sinh không cảm thấy đủ thân thiết để chia sẻ vấn đề tâm lý. Phù hợp với V-NAMHS 2022 ghi nhận chỉ 5,1% phụ huynh Việt Nam xác định được con cần trợ giúp tâm lý (UNICEF Việt Nam, 2022).</w:t>
      </w:r>
    </w:p>
    <w:p>
      <w:pPr>
        <w:ind w:firstLine="567"/>
        <w:jc w:val="both"/>
      </w:pPr>
      <w:r>
        <w:rPr>
          <w:color w:val="000000"/>
          <w:sz w:val="26"/>
        </w:rPr>
        <w:t>Tự trọng đứng thứ hai trong nhóm bảo vệ (ĐTB = 54,85), với mệnh đề "thái độ tích cực với bản thân" (65,80) cao hơn rõ "đánh giá năng lực bản thân" (50,02). Phát hiện này gợi ý hai khía cạnh khác nhau của tự trọng phát triển không đồng đều ở học sinh trung học cơ sở — tự yêu bản thân vẫn ổn định, nhưng niềm tin vào năng lực bị xói mòn dưới áp lực học tập. Phù hợp với mô hình resilience của Cai và cộng sự (2025).</w:t>
      </w:r>
    </w:p>
    <w:p>
      <w:r>
        <w:rPr>
          <w:b/>
          <w:color w:val="000000"/>
          <w:sz w:val="26"/>
        </w:rPr>
        <w:t>4.1.5. Mô hình tác động tổng hợp</w:t>
      </w:r>
    </w:p>
    <w:p>
      <w:pPr>
        <w:ind w:firstLine="567"/>
        <w:jc w:val="both"/>
      </w:pPr>
      <w:r>
        <w:rPr>
          <w:color w:val="000000"/>
          <w:sz w:val="26"/>
        </w:rPr>
        <w:t>Tổng hợp 11 mô hình SEM cho phép xếp hạng cường độ tác động của từng yếu tố theo trị tuyệt đối hệ số chuẩn hóa β. Kết quả thể hiện ở Bảng 4.1.</w:t>
      </w:r>
    </w:p>
    <w:p>
      <w:pPr>
        <w:jc w:val="center"/>
      </w:pPr>
      <w:r>
        <w:rPr>
          <w:b/>
          <w:sz w:val="24"/>
        </w:rPr>
        <w:t>Bảng 4.1. Xếp hạng tác động của các yếu tố nguy cơ và bảo vệ theo |β|</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sz w:val="22"/>
              </w:rPr>
              <w:t>Yếu tố</w:t>
            </w:r>
          </w:p>
        </w:tc>
        <w:tc>
          <w:tcPr>
            <w:tcW w:type="dxa" w:w="1881"/>
          </w:tcPr>
          <w:p>
            <w:r>
              <w:rPr>
                <w:rFonts w:ascii="Times New Roman" w:hAnsi="Times New Roman"/>
                <w:sz w:val="22"/>
              </w:rPr>
              <w:t>Loại</w:t>
            </w:r>
          </w:p>
        </w:tc>
        <w:tc>
          <w:tcPr>
            <w:tcW w:type="dxa" w:w="1881"/>
          </w:tcPr>
          <w:p>
            <w:r>
              <w:rPr>
                <w:rFonts w:ascii="Times New Roman" w:hAnsi="Times New Roman"/>
                <w:sz w:val="22"/>
              </w:rPr>
              <w:t>β cho lo âu tổng quát</w:t>
            </w:r>
          </w:p>
        </w:tc>
        <w:tc>
          <w:tcPr>
            <w:tcW w:type="dxa" w:w="1881"/>
          </w:tcPr>
          <w:p>
            <w:r>
              <w:rPr>
                <w:rFonts w:ascii="Times New Roman" w:hAnsi="Times New Roman"/>
                <w:sz w:val="22"/>
              </w:rPr>
              <w:t>β cho lo âu xã hội</w:t>
            </w:r>
          </w:p>
        </w:tc>
        <w:tc>
          <w:tcPr>
            <w:tcW w:type="dxa" w:w="1881"/>
          </w:tcPr>
          <w:p>
            <w:r>
              <w:rPr>
                <w:rFonts w:ascii="Times New Roman" w:hAnsi="Times New Roman"/>
                <w:sz w:val="22"/>
              </w:rPr>
              <w:t>Cường độ</w:t>
            </w:r>
          </w:p>
        </w:tc>
      </w:tr>
      <w:tr>
        <w:tc>
          <w:tcPr>
            <w:tcW w:type="dxa" w:w="1881"/>
          </w:tcPr>
          <w:p>
            <w:r>
              <w:rPr>
                <w:rFonts w:ascii="Times New Roman" w:hAnsi="Times New Roman"/>
                <w:sz w:val="22"/>
              </w:rPr>
              <w:t>Áp lực học tập</w:t>
            </w:r>
          </w:p>
        </w:tc>
        <w:tc>
          <w:tcPr>
            <w:tcW w:type="dxa" w:w="1881"/>
          </w:tcPr>
          <w:p>
            <w:r>
              <w:rPr>
                <w:rFonts w:ascii="Times New Roman" w:hAnsi="Times New Roman"/>
                <w:sz w:val="22"/>
              </w:rPr>
              <w:t>Nguy cơ</w:t>
            </w:r>
          </w:p>
        </w:tc>
        <w:tc>
          <w:tcPr>
            <w:tcW w:type="dxa" w:w="1881"/>
          </w:tcPr>
          <w:p>
            <w:r>
              <w:rPr>
                <w:rFonts w:ascii="Times New Roman" w:hAnsi="Times New Roman"/>
                <w:sz w:val="22"/>
              </w:rPr>
              <w:t>0,510 ***</w:t>
            </w:r>
          </w:p>
        </w:tc>
        <w:tc>
          <w:tcPr>
            <w:tcW w:type="dxa" w:w="1881"/>
          </w:tcPr>
          <w:p>
            <w:r>
              <w:rPr>
                <w:rFonts w:ascii="Times New Roman" w:hAnsi="Times New Roman"/>
                <w:sz w:val="22"/>
              </w:rPr>
              <w:t>0,490 ***</w:t>
            </w:r>
          </w:p>
        </w:tc>
        <w:tc>
          <w:tcPr>
            <w:tcW w:type="dxa" w:w="1881"/>
          </w:tcPr>
          <w:p>
            <w:r>
              <w:rPr>
                <w:rFonts w:ascii="Times New Roman" w:hAnsi="Times New Roman"/>
                <w:sz w:val="22"/>
              </w:rPr>
              <w:t>Mạnh</w:t>
            </w:r>
          </w:p>
        </w:tc>
      </w:tr>
      <w:tr>
        <w:tc>
          <w:tcPr>
            <w:tcW w:type="dxa" w:w="1881"/>
          </w:tcPr>
          <w:p>
            <w:r>
              <w:rPr>
                <w:rFonts w:ascii="Times New Roman" w:hAnsi="Times New Roman"/>
                <w:sz w:val="22"/>
              </w:rPr>
              <w:t>Tự trọng</w:t>
            </w:r>
          </w:p>
        </w:tc>
        <w:tc>
          <w:tcPr>
            <w:tcW w:type="dxa" w:w="1881"/>
          </w:tcPr>
          <w:p>
            <w:r>
              <w:rPr>
                <w:rFonts w:ascii="Times New Roman" w:hAnsi="Times New Roman"/>
                <w:sz w:val="22"/>
              </w:rPr>
              <w:t>Bảo vệ</w:t>
            </w:r>
          </w:p>
        </w:tc>
        <w:tc>
          <w:tcPr>
            <w:tcW w:type="dxa" w:w="1881"/>
          </w:tcPr>
          <w:p>
            <w:r>
              <w:rPr>
                <w:rFonts w:ascii="Times New Roman" w:hAnsi="Times New Roman"/>
                <w:sz w:val="22"/>
              </w:rPr>
              <w:t>−0,455 ***</w:t>
            </w:r>
          </w:p>
        </w:tc>
        <w:tc>
          <w:tcPr>
            <w:tcW w:type="dxa" w:w="1881"/>
          </w:tcPr>
          <w:p>
            <w:r>
              <w:rPr>
                <w:rFonts w:ascii="Times New Roman" w:hAnsi="Times New Roman"/>
                <w:sz w:val="22"/>
              </w:rPr>
              <w:t>−0,415 ***</w:t>
            </w:r>
          </w:p>
        </w:tc>
        <w:tc>
          <w:tcPr>
            <w:tcW w:type="dxa" w:w="1881"/>
          </w:tcPr>
          <w:p>
            <w:r>
              <w:rPr>
                <w:rFonts w:ascii="Times New Roman" w:hAnsi="Times New Roman"/>
                <w:sz w:val="22"/>
              </w:rPr>
              <w:t>Mạnh</w:t>
            </w:r>
          </w:p>
        </w:tc>
      </w:tr>
      <w:tr>
        <w:tc>
          <w:tcPr>
            <w:tcW w:type="dxa" w:w="1881"/>
          </w:tcPr>
          <w:p>
            <w:r>
              <w:rPr>
                <w:rFonts w:ascii="Times New Roman" w:hAnsi="Times New Roman"/>
                <w:sz w:val="22"/>
              </w:rPr>
              <w:t>Nghiện điện thoại</w:t>
            </w:r>
          </w:p>
        </w:tc>
        <w:tc>
          <w:tcPr>
            <w:tcW w:type="dxa" w:w="1881"/>
          </w:tcPr>
          <w:p>
            <w:r>
              <w:rPr>
                <w:rFonts w:ascii="Times New Roman" w:hAnsi="Times New Roman"/>
                <w:sz w:val="22"/>
              </w:rPr>
              <w:t>Nguy cơ</w:t>
            </w:r>
          </w:p>
        </w:tc>
        <w:tc>
          <w:tcPr>
            <w:tcW w:type="dxa" w:w="1881"/>
          </w:tcPr>
          <w:p>
            <w:r>
              <w:rPr>
                <w:rFonts w:ascii="Times New Roman" w:hAnsi="Times New Roman"/>
                <w:sz w:val="22"/>
              </w:rPr>
              <w:t>0,336 ***</w:t>
            </w:r>
          </w:p>
        </w:tc>
        <w:tc>
          <w:tcPr>
            <w:tcW w:type="dxa" w:w="1881"/>
          </w:tcPr>
          <w:p>
            <w:r>
              <w:rPr>
                <w:rFonts w:ascii="Times New Roman" w:hAnsi="Times New Roman"/>
                <w:sz w:val="22"/>
              </w:rPr>
              <w:t>0,383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Hỗ trợ cha mẹ</w:t>
            </w:r>
          </w:p>
        </w:tc>
        <w:tc>
          <w:tcPr>
            <w:tcW w:type="dxa" w:w="1881"/>
          </w:tcPr>
          <w:p>
            <w:r>
              <w:rPr>
                <w:rFonts w:ascii="Times New Roman" w:hAnsi="Times New Roman"/>
                <w:sz w:val="22"/>
              </w:rPr>
              <w:t>Bảo vệ</w:t>
            </w:r>
          </w:p>
        </w:tc>
        <w:tc>
          <w:tcPr>
            <w:tcW w:type="dxa" w:w="1881"/>
          </w:tcPr>
          <w:p>
            <w:r>
              <w:rPr>
                <w:rFonts w:ascii="Times New Roman" w:hAnsi="Times New Roman"/>
                <w:sz w:val="22"/>
              </w:rPr>
              <w:t>−0,172 ***</w:t>
            </w:r>
          </w:p>
        </w:tc>
        <w:tc>
          <w:tcPr>
            <w:tcW w:type="dxa" w:w="1881"/>
          </w:tcPr>
          <w:p>
            <w:r>
              <w:rPr>
                <w:rFonts w:ascii="Times New Roman" w:hAnsi="Times New Roman"/>
                <w:sz w:val="22"/>
              </w:rPr>
              <w:t>−0,273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Bắt nạt học đường</w:t>
            </w:r>
          </w:p>
        </w:tc>
        <w:tc>
          <w:tcPr>
            <w:tcW w:type="dxa" w:w="1881"/>
          </w:tcPr>
          <w:p>
            <w:r>
              <w:rPr>
                <w:rFonts w:ascii="Times New Roman" w:hAnsi="Times New Roman"/>
                <w:sz w:val="22"/>
              </w:rPr>
              <w:t>Nguy cơ</w:t>
            </w:r>
          </w:p>
        </w:tc>
        <w:tc>
          <w:tcPr>
            <w:tcW w:type="dxa" w:w="1881"/>
          </w:tcPr>
          <w:p>
            <w:r>
              <w:rPr>
                <w:rFonts w:ascii="Times New Roman" w:hAnsi="Times New Roman"/>
                <w:sz w:val="22"/>
              </w:rPr>
              <w:t>0,215 ***</w:t>
            </w:r>
          </w:p>
        </w:tc>
        <w:tc>
          <w:tcPr>
            <w:tcW w:type="dxa" w:w="1881"/>
          </w:tcPr>
          <w:p>
            <w:r>
              <w:rPr>
                <w:rFonts w:ascii="Times New Roman" w:hAnsi="Times New Roman"/>
                <w:sz w:val="22"/>
              </w:rPr>
              <w:t>0,253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Gắn bó trường học</w:t>
            </w:r>
          </w:p>
        </w:tc>
        <w:tc>
          <w:tcPr>
            <w:tcW w:type="dxa" w:w="1881"/>
          </w:tcPr>
          <w:p>
            <w:r>
              <w:rPr>
                <w:rFonts w:ascii="Times New Roman" w:hAnsi="Times New Roman"/>
                <w:sz w:val="22"/>
              </w:rPr>
              <w:t>Bảo vệ</w:t>
            </w:r>
          </w:p>
        </w:tc>
        <w:tc>
          <w:tcPr>
            <w:tcW w:type="dxa" w:w="1881"/>
          </w:tcPr>
          <w:p>
            <w:r>
              <w:rPr>
                <w:rFonts w:ascii="Times New Roman" w:hAnsi="Times New Roman"/>
                <w:sz w:val="22"/>
              </w:rPr>
              <w:t>−0,108 **</w:t>
            </w:r>
          </w:p>
        </w:tc>
        <w:tc>
          <w:tcPr>
            <w:tcW w:type="dxa" w:w="1881"/>
          </w:tcPr>
          <w:p>
            <w:r>
              <w:rPr>
                <w:rFonts w:ascii="Times New Roman" w:hAnsi="Times New Roman"/>
                <w:sz w:val="22"/>
              </w:rPr>
              <w:t>−0,187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Hỗ trợ bạn bè</w:t>
            </w:r>
          </w:p>
        </w:tc>
        <w:tc>
          <w:tcPr>
            <w:tcW w:type="dxa" w:w="1881"/>
          </w:tcPr>
          <w:p>
            <w:r>
              <w:rPr>
                <w:rFonts w:ascii="Times New Roman" w:hAnsi="Times New Roman"/>
                <w:sz w:val="22"/>
              </w:rPr>
              <w:t>Bảo vệ</w:t>
            </w:r>
          </w:p>
        </w:tc>
        <w:tc>
          <w:tcPr>
            <w:tcW w:type="dxa" w:w="1881"/>
          </w:tcPr>
          <w:p>
            <w:r>
              <w:rPr>
                <w:rFonts w:ascii="Times New Roman" w:hAnsi="Times New Roman"/>
                <w:sz w:val="22"/>
              </w:rPr>
              <w:t>−0,015 ns</w:t>
            </w:r>
          </w:p>
        </w:tc>
        <w:tc>
          <w:tcPr>
            <w:tcW w:type="dxa" w:w="1881"/>
          </w:tcPr>
          <w:p>
            <w:r>
              <w:rPr>
                <w:rFonts w:ascii="Times New Roman" w:hAnsi="Times New Roman"/>
                <w:sz w:val="22"/>
              </w:rPr>
              <w:t>−0,079 *</w:t>
            </w:r>
          </w:p>
        </w:tc>
        <w:tc>
          <w:tcPr>
            <w:tcW w:type="dxa" w:w="1881"/>
          </w:tcPr>
          <w:p>
            <w:r>
              <w:rPr>
                <w:rFonts w:ascii="Times New Roman" w:hAnsi="Times New Roman"/>
                <w:sz w:val="22"/>
              </w:rPr>
              <w:t>Đặc thù</w:t>
            </w:r>
          </w:p>
        </w:tc>
      </w:tr>
    </w:tbl>
    <w:p>
      <w:r>
        <w:rPr>
          <w:color w:val="000000"/>
          <w:sz w:val="26"/>
        </w:rPr>
        <w:t>Ghi chú: *** p &lt; 0,001; ** p &lt; 0,01; * p &lt; 0,05; ns — không có ý nghĩa thống kê.</w:t>
      </w:r>
    </w:p>
    <w:p>
      <w:pPr>
        <w:ind w:firstLine="567"/>
        <w:jc w:val="both"/>
      </w:pPr>
      <w:r>
        <w:rPr>
          <w:color w:val="000000"/>
          <w:sz w:val="26"/>
        </w:rPr>
      </w:r>
    </w:p>
    <w:p>
      <w:pPr>
        <w:ind w:firstLine="567"/>
        <w:jc w:val="both"/>
      </w:pPr>
      <w:r>
        <w:rPr>
          <w:color w:val="000000"/>
          <w:sz w:val="26"/>
        </w:rPr>
        <w:t>Bảng 4.1 cho thấy tự trọng là yếu tố bảo vệ MẠNH NHẤT (|β| = 0,455 cho lo âu tổng quát; 0,415 cho lo âu xã hội), với cường độ tương đương áp lực học tập (|β| = 0,510). Phát hiện này có hàm ý can thiệp quan trọng — nâng cao tự trọng có hiệu quả tương đương với giảm áp lực học tập trong việc giảm rối loạn lo âu. Nói cách khác, chương trình can thiệp song song hai trục (giảm áp lực + tăng tự trọng) sẽ hiệu quả hơn can thiệp đơn trục.</w:t>
      </w:r>
    </w:p>
    <w:p>
      <w:pPr>
        <w:ind w:firstLine="567"/>
        <w:jc w:val="both"/>
      </w:pPr>
      <w:r>
        <w:rPr>
          <w:color w:val="000000"/>
          <w:sz w:val="26"/>
        </w:rPr>
        <w:t>Mô hình SEM tổng hợp cuối cùng đạt CFI = 0,937; RMSEA = 0,077 với khoảng tin cậy 90% (0,016–0,065) — chuẩn báo cáo theo Browne và Cudeck (1993). Hệ số xác định R² = 0,598 cho thấy mô hình giải thích 59,8% phương sai của rối loạn lo âu — vượt xa ngưỡng "effect size lớn" theo Cohen (1988).</w:t>
      </w:r>
    </w:p>
    <w:p>
      <w:r>
        <w:rPr>
          <w:b/>
          <w:color w:val="000000"/>
          <w:sz w:val="26"/>
        </w:rPr>
        <w:t>Năm phát hiện chính từ đối chiếu</w:t>
      </w:r>
    </w:p>
    <w:p>
      <w:pPr>
        <w:ind w:firstLine="567"/>
        <w:jc w:val="both"/>
      </w:pPr>
      <w:r>
        <w:rPr>
          <w:color w:val="000000"/>
          <w:sz w:val="26"/>
        </w:rPr>
        <w:t>Tổng hợp đối chiếu kết quả nghiên cứu với cơ sở dữ liệu liên bài cho năm phát hiện chính. Thứ nhất, áp lực học tập và kỳ vọng tương lai là yếu tố nguy cơ NỔI BẬT NHẤT ở học sinh trung học cơ sở Việt Nam — sớm hơn giả định thông thường về áp lực thi cử. Thứ hai, lo âu tổng quát và lo âu xã hội TĂNG theo khối lớp trong khi lo âu chia ly GIẢM — phù hợp developmental psychopathology. Thứ ba, nữ giới có điểm cao hơn nam ở ba trong bốn chỉ số — phù hợp y văn quốc tế với chênh lệch ~1,5–2 lần. Thứ tư, tự trọng là yếu tố bảo vệ MẠNH NHẤT, có cường độ ngang bằng với áp lực học tập — gợi ý chiến lược can thiệp song trục. Thứ năm, mô hình SEM tổng hợp giải thích 59,8% phương sai — vượt ngưỡng effect size lớn của Cohen (1988).</w:t>
      </w:r>
    </w:p>
    <w:p>
      <w:r>
        <w:rPr>
          <w:b/>
          <w:color w:val="000000"/>
          <w:sz w:val="26"/>
        </w:rPr>
        <w:t>4.2. Đề xuất khung tập huấn can thiệp bốn tầng</w:t>
      </w:r>
    </w:p>
    <w:p>
      <w:pPr>
        <w:ind w:firstLine="567"/>
        <w:jc w:val="both"/>
      </w:pPr>
      <w:r>
        <w:rPr>
          <w:color w:val="000000"/>
          <w:sz w:val="26"/>
        </w:rPr>
        <w:t>Tổ chức Y tế Thế giới (WHO, 2022) khuyến cáo các quốc gia áp dụng mô hình can thiệp phân tầng (stepped-care) cho rối loạn tâm thần ở vị thành niên. Tại các nước Á Châu, Nhật Bản đã triển khai thành công mô hình iCBT cho học sinh trung học (Matsumoto và cộng sự, 2024) — chứng minh độ chấp nhận cao trong văn hóa tương đồng với Việt Nam. Trên cơ sở đó, nghiên cứu của chúng tôi đề xuất khung can thiệp bốn tầng cho học sinh trung học cơ sở Việt Nam — tích hợp đồng thời các yếu tố nguy cơ và bảo vệ đã xác định trong mô hình SEM.</w:t>
      </w:r>
    </w:p>
    <w:p>
      <w:r>
        <w:rPr>
          <w:b/>
          <w:color w:val="000000"/>
          <w:sz w:val="26"/>
        </w:rPr>
        <w:t>4.2.1. Tầng phổ thông (Universal)</w:t>
      </w:r>
    </w:p>
    <w:p>
      <w:pPr>
        <w:ind w:firstLine="567"/>
        <w:jc w:val="both"/>
      </w:pPr>
      <w:r>
        <w:rPr>
          <w:color w:val="000000"/>
          <w:sz w:val="26"/>
        </w:rPr>
        <w:t>Đối tượng là TOÀN BỘ học sinh trung học cơ sở, không phân biệt mức độ lo âu. Nội dung gồm giáo dục tâm lý 60 phút mỗi tháng trong năm học, tập trung phân biệt lo âu bình thường và lo âu lâm sàng; kỹ thuật thư giãn cơ bản như hơi thở 4-7-8 và thư giãn cơ tiến triển theo Trần Nguyễn Ngọc (2018). Phù hợp với tổng quan của Bie và cộng sự (2024) — sàng lọc và giáo dục là tầng đầu tiên trong hệ thống can thiệp toàn cầu. Mục tiêu KPI: 80% học sinh phân biệt được hai loại lo âu sau một năm; 60% sử dụng ít nhất một kỹ thuật thư giãn ≥ 1 lần/tuần.</w:t>
      </w:r>
    </w:p>
    <w:p>
      <w:r>
        <w:rPr>
          <w:b/>
          <w:color w:val="000000"/>
          <w:sz w:val="26"/>
        </w:rPr>
        <w:t>4.2.2. Tầng chọn lọc (Selective)</w:t>
      </w:r>
    </w:p>
    <w:p>
      <w:pPr>
        <w:ind w:firstLine="567"/>
        <w:jc w:val="both"/>
      </w:pPr>
      <w:r>
        <w:rPr>
          <w:color w:val="000000"/>
          <w:sz w:val="26"/>
        </w:rPr>
        <w:t>Đối tượng là học sinh có ít nhất một yếu tố nguy cơ chính — áp lực học tập cao, nghiện điện thoại, bị bắt nạt, hoặc tự trọng thấp. Nội dung gồm chương trình kỹ năng đối phó tám buổi (60 phút/tuần), dựa trên Brief-COPE của Carver (1997) — phân biệt đối phó adaptive và maladaptive (Compas và cộng sự, 2017). Hoạt động cụ thể bao gồm nhật ký lo âu, kỹ năng tư duy nhận thức CBT-lite, bài tập chánh niệm.</w:t>
      </w:r>
    </w:p>
    <w:p>
      <w:pPr>
        <w:ind w:firstLine="567"/>
        <w:jc w:val="both"/>
      </w:pPr>
      <w:r>
        <w:rPr>
          <w:color w:val="000000"/>
          <w:sz w:val="26"/>
        </w:rPr>
        <w:t>Cơ sở bằng chứng là phân tích tổng hợp dữ liệu cá nhân (IPD meta-analysis) của Galante và cộng sự (2023) — chương trình mindfulness cải thiện lo âu so với nhóm chứng. Phù hợp với mô hình của Wen và cộng sự (2020) tại Trung Quốc — phân tích nhóm tiềm ẩn (LPA) xác định ba nhóm phụ học sinh, gợi ý can thiệp PHÂN TẦNG hiệu quả hơn can thiệp đồng nhất. Mục tiêu KPI: giảm điểm áp lực học tập-related anxiety ≥ 20% sau tám buổi; tăng điểm resilience ≥ 15%.</w:t>
      </w:r>
    </w:p>
    <w:p>
      <w:r>
        <w:rPr>
          <w:b/>
          <w:color w:val="000000"/>
          <w:sz w:val="26"/>
        </w:rPr>
        <w:t>4.2.3. Tầng chỉ định (Indicated)</w:t>
      </w:r>
    </w:p>
    <w:p>
      <w:pPr>
        <w:ind w:firstLine="567"/>
        <w:jc w:val="both"/>
      </w:pPr>
      <w:r>
        <w:rPr>
          <w:color w:val="000000"/>
          <w:sz w:val="26"/>
        </w:rPr>
        <w:t>Đối tượng là học sinh có điểm RCADS hoặc DASS-21 trên ngưỡng cảnh báo nhưng CHƯA đáp ứng tiêu chí chẩn đoán DSM-5. Nội dung là trị liệu nhận thức hành vi qua internet (iCBT) tám buổi — dựa trên mô hình của Matsumoto và cộng sự (2024). Phù hợp với văn hóa Á Châu khi giảm rào cản stigma và cho phép tham gia ẩn danh.</w:t>
      </w:r>
    </w:p>
    <w:p>
      <w:pPr>
        <w:ind w:firstLine="567"/>
        <w:jc w:val="both"/>
      </w:pPr>
      <w:r>
        <w:rPr>
          <w:color w:val="000000"/>
          <w:sz w:val="26"/>
        </w:rPr>
        <w:t>Tính năng iCBT chính bao gồm video giáo dục tâm lý, bài tập tư duy nhận thức theo mô hình ABC, kích hoạt hành vi (behavioral activation), và phơi nhiễm phân cấp cho lo âu xã hội. Có thể phối hợp ứng dụng di động ClearFear (Samele và cộng sự, 2025) hoặc ClearlyMe (Li và cộng sự, 2024) — cả hai đã được pilot trên học sinh trung học phổ thông Việt Nam. Mục tiêu KPI: 60% học sinh hoàn thành tám buổi; giảm điểm GAD-7 ≥ 5 điểm; tỷ lệ tái phát ở 6 tháng &lt; 30%.</w:t>
      </w:r>
    </w:p>
    <w:p>
      <w:r>
        <w:rPr>
          <w:b/>
          <w:color w:val="000000"/>
          <w:sz w:val="26"/>
        </w:rPr>
        <w:t>4.2.4. Tầng lâm sàng (Clinical)</w:t>
      </w:r>
    </w:p>
    <w:p>
      <w:pPr>
        <w:ind w:firstLine="567"/>
        <w:jc w:val="both"/>
      </w:pPr>
      <w:r>
        <w:rPr>
          <w:color w:val="000000"/>
          <w:sz w:val="26"/>
        </w:rPr>
        <w:t>Đối tượng là học sinh đã được CHẨN ĐOÁN rối loạn lo âu theo DSM-5 qua DISC-5 hoặc đánh giá lâm sàng. Nội dung là trị liệu chuyên sâu — chuyển đến bệnh viện tâm thần hoặc chuyên gia tâm lý qua đường dẫn tham chiếu (referral pathway). Cần thiết lập liên kết: nhân viên tham vấn trường học — trung tâm sức khỏe tâm thần cộng đồng — bệnh viện tâm thần tỉnh.</w:t>
      </w:r>
    </w:p>
    <w:p>
      <w:pPr>
        <w:ind w:firstLine="567"/>
        <w:jc w:val="both"/>
      </w:pPr>
      <w:r>
        <w:rPr>
          <w:color w:val="000000"/>
          <w:sz w:val="26"/>
        </w:rPr>
        <w:t>V-NAMHS (2022) ghi nhận chỉ 8,4% vị thành niên có vấn đề sức khỏe tâm thần sử dụng dịch vụ; chỉ 1,4% gặp chuyên gia tâm thần (UNICEF Việt Nam, 2022). Nói cách khác, hơn 91% vị thành niên Việt Nam có vấn đề tâm lý KHÔNG NHẬN được dịch vụ chuyên môn — khoảng cách điều trị thuộc nhóm cao nhất khu vực. Tầng lâm sàng cần ưu tiên xây dựng đường dẫn tiếp cận. Mục tiêu KPI: giảm khoảng cách điều trị từ 91,6% xuống dưới 70% trong 5 năm.</w:t>
      </w:r>
    </w:p>
    <w:p>
      <w:r>
        <w:rPr>
          <w:b/>
          <w:color w:val="000000"/>
          <w:sz w:val="26"/>
        </w:rPr>
        <w:t>4.2.5. Đối chiếu thành phần can thiệp với hệ số tác động trong mô hình SEM</w:t>
      </w:r>
    </w:p>
    <w:p>
      <w:pPr>
        <w:jc w:val="center"/>
      </w:pPr>
      <w:r>
        <w:rPr>
          <w:b/>
          <w:sz w:val="24"/>
        </w:rPr>
        <w:t>Bảng 4.2. Liên kết thành phần can thiệp với yếu tố mục tiêu trong SEM</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Thành phần can thiệp</w:t>
            </w:r>
          </w:p>
        </w:tc>
        <w:tc>
          <w:tcPr>
            <w:tcW w:type="dxa" w:w="3135"/>
          </w:tcPr>
          <w:p>
            <w:r>
              <w:rPr>
                <w:rFonts w:ascii="Times New Roman" w:hAnsi="Times New Roman"/>
                <w:sz w:val="22"/>
              </w:rPr>
              <w:t>Yếu tố mục tiêu</w:t>
            </w:r>
          </w:p>
        </w:tc>
        <w:tc>
          <w:tcPr>
            <w:tcW w:type="dxa" w:w="3135"/>
          </w:tcPr>
          <w:p>
            <w:r>
              <w:rPr>
                <w:rFonts w:ascii="Times New Roman" w:hAnsi="Times New Roman"/>
                <w:sz w:val="22"/>
              </w:rPr>
              <w:t>Bằng chứng nguồn</w:t>
            </w:r>
          </w:p>
        </w:tc>
      </w:tr>
      <w:tr>
        <w:tc>
          <w:tcPr>
            <w:tcW w:type="dxa" w:w="3135"/>
          </w:tcPr>
          <w:p>
            <w:r>
              <w:rPr>
                <w:rFonts w:ascii="Times New Roman" w:hAnsi="Times New Roman"/>
                <w:sz w:val="22"/>
              </w:rPr>
              <w:t>Giáo dục tâm lý về lo âu</w:t>
            </w:r>
          </w:p>
        </w:tc>
        <w:tc>
          <w:tcPr>
            <w:tcW w:type="dxa" w:w="3135"/>
          </w:tcPr>
          <w:p>
            <w:r>
              <w:rPr>
                <w:rFonts w:ascii="Times New Roman" w:hAnsi="Times New Roman"/>
                <w:sz w:val="22"/>
              </w:rPr>
              <w:t>Tự trọng (β = −0,455)</w:t>
            </w:r>
          </w:p>
        </w:tc>
        <w:tc>
          <w:tcPr>
            <w:tcW w:type="dxa" w:w="3135"/>
          </w:tcPr>
          <w:p>
            <w:r>
              <w:rPr>
                <w:rFonts w:ascii="Times New Roman" w:hAnsi="Times New Roman"/>
                <w:sz w:val="22"/>
              </w:rPr>
              <w:t>Bie và cộng sự (2024)</w:t>
            </w:r>
          </w:p>
        </w:tc>
      </w:tr>
      <w:tr>
        <w:tc>
          <w:tcPr>
            <w:tcW w:type="dxa" w:w="3135"/>
          </w:tcPr>
          <w:p>
            <w:r>
              <w:rPr>
                <w:rFonts w:ascii="Times New Roman" w:hAnsi="Times New Roman"/>
                <w:sz w:val="22"/>
              </w:rPr>
              <w:t>Kỹ thuật thư giãn</w:t>
            </w:r>
          </w:p>
        </w:tc>
        <w:tc>
          <w:tcPr>
            <w:tcW w:type="dxa" w:w="3135"/>
          </w:tcPr>
          <w:p>
            <w:r>
              <w:rPr>
                <w:rFonts w:ascii="Times New Roman" w:hAnsi="Times New Roman"/>
                <w:sz w:val="22"/>
              </w:rPr>
              <w:t>Áp lực học tập (β = 0,510)</w:t>
            </w:r>
          </w:p>
        </w:tc>
        <w:tc>
          <w:tcPr>
            <w:tcW w:type="dxa" w:w="3135"/>
          </w:tcPr>
          <w:p>
            <w:r>
              <w:rPr>
                <w:rFonts w:ascii="Times New Roman" w:hAnsi="Times New Roman"/>
                <w:sz w:val="22"/>
              </w:rPr>
              <w:t>Trần Nguyễn Ngọc (2018)</w:t>
            </w:r>
          </w:p>
        </w:tc>
      </w:tr>
      <w:tr>
        <w:tc>
          <w:tcPr>
            <w:tcW w:type="dxa" w:w="3135"/>
          </w:tcPr>
          <w:p>
            <w:r>
              <w:rPr>
                <w:rFonts w:ascii="Times New Roman" w:hAnsi="Times New Roman"/>
                <w:sz w:val="22"/>
              </w:rPr>
              <w:t>Trị liệu CBT nhận thức</w:t>
            </w:r>
          </w:p>
        </w:tc>
        <w:tc>
          <w:tcPr>
            <w:tcW w:type="dxa" w:w="3135"/>
          </w:tcPr>
          <w:p>
            <w:r>
              <w:rPr>
                <w:rFonts w:ascii="Times New Roman" w:hAnsi="Times New Roman"/>
                <w:sz w:val="22"/>
              </w:rPr>
              <w:t>Áp lực học tập + nghiện điện thoại</w:t>
            </w:r>
          </w:p>
        </w:tc>
        <w:tc>
          <w:tcPr>
            <w:tcW w:type="dxa" w:w="3135"/>
          </w:tcPr>
          <w:p>
            <w:r>
              <w:rPr>
                <w:rFonts w:ascii="Times New Roman" w:hAnsi="Times New Roman"/>
                <w:sz w:val="22"/>
              </w:rPr>
              <w:t>Matsumoto và cộng sự (2024)</w:t>
            </w:r>
          </w:p>
        </w:tc>
      </w:tr>
      <w:tr>
        <w:tc>
          <w:tcPr>
            <w:tcW w:type="dxa" w:w="3135"/>
          </w:tcPr>
          <w:p>
            <w:r>
              <w:rPr>
                <w:rFonts w:ascii="Times New Roman" w:hAnsi="Times New Roman"/>
                <w:sz w:val="22"/>
              </w:rPr>
              <w:t>Mindfulness MBSR-T</w:t>
            </w:r>
          </w:p>
        </w:tc>
        <w:tc>
          <w:tcPr>
            <w:tcW w:type="dxa" w:w="3135"/>
          </w:tcPr>
          <w:p>
            <w:r>
              <w:rPr>
                <w:rFonts w:ascii="Times New Roman" w:hAnsi="Times New Roman"/>
                <w:sz w:val="22"/>
              </w:rPr>
              <w:t>Tự trọng + gắn bó trường học</w:t>
            </w:r>
          </w:p>
        </w:tc>
        <w:tc>
          <w:tcPr>
            <w:tcW w:type="dxa" w:w="3135"/>
          </w:tcPr>
          <w:p>
            <w:r>
              <w:rPr>
                <w:rFonts w:ascii="Times New Roman" w:hAnsi="Times New Roman"/>
                <w:sz w:val="22"/>
              </w:rPr>
              <w:t>Galante và cộng sự (2023)</w:t>
            </w:r>
          </w:p>
        </w:tc>
      </w:tr>
      <w:tr>
        <w:tc>
          <w:tcPr>
            <w:tcW w:type="dxa" w:w="3135"/>
          </w:tcPr>
          <w:p>
            <w:r>
              <w:rPr>
                <w:rFonts w:ascii="Times New Roman" w:hAnsi="Times New Roman"/>
                <w:sz w:val="22"/>
              </w:rPr>
              <w:t>Hoạt động thể chất</w:t>
            </w:r>
          </w:p>
        </w:tc>
        <w:tc>
          <w:tcPr>
            <w:tcW w:type="dxa" w:w="3135"/>
          </w:tcPr>
          <w:p>
            <w:r>
              <w:rPr>
                <w:rFonts w:ascii="Times New Roman" w:hAnsi="Times New Roman"/>
                <w:sz w:val="22"/>
              </w:rPr>
              <w:t>Áp lực học tập</w:t>
            </w:r>
          </w:p>
        </w:tc>
        <w:tc>
          <w:tcPr>
            <w:tcW w:type="dxa" w:w="3135"/>
          </w:tcPr>
          <w:p>
            <w:r>
              <w:rPr>
                <w:rFonts w:ascii="Times New Roman" w:hAnsi="Times New Roman"/>
                <w:sz w:val="22"/>
              </w:rPr>
              <w:t>Li và cộng sự (2025)</w:t>
            </w:r>
          </w:p>
        </w:tc>
      </w:tr>
      <w:tr>
        <w:tc>
          <w:tcPr>
            <w:tcW w:type="dxa" w:w="3135"/>
          </w:tcPr>
          <w:p>
            <w:r>
              <w:rPr>
                <w:rFonts w:ascii="Times New Roman" w:hAnsi="Times New Roman"/>
                <w:sz w:val="22"/>
              </w:rPr>
              <w:t>Tập huấn cha mẹ</w:t>
            </w:r>
          </w:p>
        </w:tc>
        <w:tc>
          <w:tcPr>
            <w:tcW w:type="dxa" w:w="3135"/>
          </w:tcPr>
          <w:p>
            <w:r>
              <w:rPr>
                <w:rFonts w:ascii="Times New Roman" w:hAnsi="Times New Roman"/>
                <w:sz w:val="22"/>
              </w:rPr>
              <w:t>Hỗ trợ cha mẹ (β = −0,172)</w:t>
            </w:r>
          </w:p>
        </w:tc>
        <w:tc>
          <w:tcPr>
            <w:tcW w:type="dxa" w:w="3135"/>
          </w:tcPr>
          <w:p>
            <w:r>
              <w:rPr>
                <w:rFonts w:ascii="Times New Roman" w:hAnsi="Times New Roman"/>
                <w:sz w:val="22"/>
              </w:rPr>
              <w:t>Phạm và cộng sự (2024)</w:t>
            </w:r>
          </w:p>
        </w:tc>
      </w:tr>
      <w:tr>
        <w:tc>
          <w:tcPr>
            <w:tcW w:type="dxa" w:w="3135"/>
          </w:tcPr>
          <w:p>
            <w:r>
              <w:rPr>
                <w:rFonts w:ascii="Times New Roman" w:hAnsi="Times New Roman"/>
                <w:sz w:val="22"/>
              </w:rPr>
              <w:t>Hệ thống peer support</w:t>
            </w:r>
          </w:p>
        </w:tc>
        <w:tc>
          <w:tcPr>
            <w:tcW w:type="dxa" w:w="3135"/>
          </w:tcPr>
          <w:p>
            <w:r>
              <w:rPr>
                <w:rFonts w:ascii="Times New Roman" w:hAnsi="Times New Roman"/>
                <w:sz w:val="22"/>
              </w:rPr>
              <w:t>Hỗ trợ bạn bè (lo âu xã hội)</w:t>
            </w:r>
          </w:p>
        </w:tc>
        <w:tc>
          <w:tcPr>
            <w:tcW w:type="dxa" w:w="3135"/>
          </w:tcPr>
          <w:p>
            <w:r>
              <w:rPr>
                <w:rFonts w:ascii="Times New Roman" w:hAnsi="Times New Roman"/>
                <w:sz w:val="22"/>
              </w:rPr>
              <w:t>Murphy và cộng sự (2024)</w:t>
            </w:r>
          </w:p>
        </w:tc>
      </w:tr>
    </w:tbl>
    <w:p>
      <w:pPr>
        <w:ind w:firstLine="567"/>
        <w:jc w:val="both"/>
      </w:pPr>
      <w:r>
        <w:rPr>
          <w:color w:val="000000"/>
          <w:sz w:val="26"/>
        </w:rPr>
      </w:r>
    </w:p>
    <w:p>
      <w:pPr>
        <w:ind w:firstLine="567"/>
        <w:jc w:val="both"/>
      </w:pPr>
      <w:r>
        <w:rPr>
          <w:color w:val="000000"/>
          <w:sz w:val="26"/>
        </w:rPr>
        <w:t>Bảng 4.2 cho thấy mỗi thành phần can thiệp đều có yếu tố mục tiêu rõ ràng trong mô hình SEM của nghiên cứu. Phát hiện này có ý nghĩa thiết kế quan trọng — chương trình can thiệp không nên chọn thành phần ngẫu nhiên mà cần ưu tiên các thành phần tác động vào yếu tố có |β| lớn nhất. Cụ thể, giáo dục tâm lý về lo âu và CBT nhận thức nên được ưu tiên do tác động vào tự trọng và áp lực học tập — hai yếu tố có cường độ MẠNH NHẤT trong mô hình.</w:t>
      </w:r>
    </w:p>
    <w:p>
      <w:r>
        <w:rPr>
          <w:b/>
          <w:color w:val="000000"/>
          <w:sz w:val="26"/>
        </w:rPr>
        <w:t>4.2.6. Lộ trình triển khai năm năm</w:t>
      </w:r>
    </w:p>
    <w:p>
      <w:pPr>
        <w:ind w:firstLine="567"/>
        <w:jc w:val="both"/>
      </w:pPr>
      <w:r>
        <w:rPr>
          <w:color w:val="000000"/>
          <w:sz w:val="26"/>
        </w:rPr>
        <w:t>Năm thứ nhất tập trung pilot tầng phổ thông và tầng chọn lọc tại 3–5 trường trung học cơ sở đại diện — một trung tâm tỉnh và hai huyện; đào tạo 30 nhân viên tham vấn học đường; chuẩn hóa thang đo DASS-21 và RCADS bản tiếng Việt (Nguyễn Cao Minh, 2012). Năm thứ hai mở rộng tầng phổ thông và chọn lọc ra 30 trường; pilot tầng chỉ định iCBT tại 5 trường có kết nối internet ổn định; thiết lập đường dẫn tham chiếu tới bệnh viện tâm thần.</w:t>
      </w:r>
    </w:p>
    <w:p>
      <w:pPr>
        <w:ind w:firstLine="567"/>
        <w:jc w:val="both"/>
      </w:pPr>
      <w:r>
        <w:rPr>
          <w:color w:val="000000"/>
          <w:sz w:val="26"/>
        </w:rPr>
        <w:t>Năm thứ ba đánh giá hiệu quả ba tầng đầu bằng thử nghiệm ngẫu nhiên có đối chứng cluster — xuất bản kết quả và điều chỉnh nội dung. Năm thứ tư mở rộng quy mô toàn quốc với 300 trường trở lên; xây dựng phần mềm theo dõi (sổ tâm lý điện tử học sinh) kết nối trường học với trung tâm sức khỏe tâm thần. Năm thứ năm đánh giá tổng thể và phân tích chi phí–hiệu quả; chuyển giao mô hình cho Bộ Giáo dục và Đào tạo đưa vào chương trình bắt buộc.</w:t>
      </w:r>
    </w:p>
    <w:p>
      <w:r>
        <w:rPr>
          <w:b/>
          <w:color w:val="000000"/>
          <w:sz w:val="26"/>
        </w:rPr>
        <w:t>4.3. Bàn luận</w:t>
      </w:r>
    </w:p>
    <w:p>
      <w:pPr>
        <w:ind w:firstLine="567"/>
        <w:jc w:val="both"/>
      </w:pPr>
      <w:r>
        <w:rPr>
          <w:color w:val="000000"/>
          <w:sz w:val="26"/>
        </w:rPr>
        <w:t>Kết quả nghiên cứu nhất quán cao với cơ sở dữ liệu tổng hợp từ các nghiên cứu trong nước và quốc tế. Nữ giới có rối loạn lo âu cao hơn nam giới ở phần lớn các chỉ số — phù hợp McLean và cộng sự (2011). Lo âu tổng quát và lo âu xã hội TĂNG theo khối lớp trong khi lo âu chia ly GIẢM — phù hợp Beesdo và cộng sự (2009). Áp lực học tập là yếu tố nguy cơ MẠNH NHẤT — phù hợp Wen và cộng sự (2020) tại Trung Quốc và Trần Thảo Vi và cộng sự (2024) tại Huế. Tự trọng và hỗ trợ từ cha mẹ là yếu tố bảo vệ chính — phù hợp Cai và cộng sự (2025) và V-NAMHS 2022.</w:t>
      </w:r>
    </w:p>
    <w:p>
      <w:pPr>
        <w:ind w:firstLine="567"/>
        <w:jc w:val="both"/>
      </w:pPr>
      <w:r>
        <w:rPr>
          <w:color w:val="000000"/>
          <w:sz w:val="26"/>
        </w:rPr>
        <w:t>Mô hình SEM tổng hợp giải thích 59,8% phương sai của rối loạn lo âu — mức "effect size lớn" theo Cohen (1988). Đáng chú ý, cường độ tác động của yếu tố nguy cơ lớn hơn yếu tố bảo vệ — gợi ý cần ưu tiên giảm các yếu tố nguy cơ trong can thiệp, đồng thời không bỏ qua việc tăng cường yếu tố bảo vệ MẠNH như tự trọng.</w:t>
      </w:r>
    </w:p>
    <w:p>
      <w:pPr>
        <w:ind w:firstLine="567"/>
        <w:jc w:val="both"/>
      </w:pPr>
      <w:r>
        <w:rPr>
          <w:color w:val="000000"/>
          <w:sz w:val="26"/>
        </w:rPr>
        <w:t>Khung tập huấn bốn tầng được đề xuất tích hợp đồng thời các yếu tố đã xác định trong mô hình SEM — dựa trên bằng chứng từ Nhật Bản và Trung Quốc, hai quốc gia có nền văn hóa giáo dục tương đồng với Việt Nam. Việt Nam hiện có dưới 0,3 chuyên gia tâm thần trên 100.000 dân (so với 4,3 tại Singapore — GBD ASEAN Mental Disorders Collaborators, 2025). Nói cách khác, mỗi chuyên gia tâm thần Việt Nam phải phục vụ hơn 333.000 dân — một tỷ lệ KHÔNG khả thi cho can thiệp lâm sàng truyền thống. Việc đào tạo nhân viên tham vấn học đường và phát triển công cụ iCBT là chiến lược thực tế nhằm bù đắp khoảng trống nhân lực chuyên môn.</w:t>
      </w:r>
    </w:p>
    <w:p>
      <w:r>
        <w:rPr>
          <w:b/>
          <w:color w:val="000000"/>
          <w:sz w:val="26"/>
        </w:rPr>
        <w:t>4.4. Tài liệu tham khảo bổ sung</w:t>
      </w:r>
    </w:p>
    <w:p>
      <w:r>
        <w:rPr>
          <w:color w:val="000000"/>
          <w:sz w:val="26"/>
        </w:rPr>
        <w:t>Tiếng Việt</w:t>
      </w:r>
    </w:p>
    <w:p>
      <w:pPr>
        <w:ind w:left="567" w:hanging="567"/>
        <w:jc w:val="both"/>
      </w:pPr>
      <w:r>
        <w:rPr>
          <w:sz w:val="24"/>
        </w:rPr>
        <w:t>Đinh, V. T., và cộng sự. (2021). School factors causing Vietnamese adolescents anxiety. ResearchGate.</w:t>
      </w:r>
    </w:p>
    <w:p>
      <w:pPr>
        <w:ind w:left="567" w:hanging="567"/>
        <w:jc w:val="both"/>
      </w:pPr>
      <w:r>
        <w:rPr>
          <w:sz w:val="24"/>
        </w:rPr>
        <w:t>Hoa, L. T. T., và cộng sự. (2024). Anxiety in upper secondary school students in Hanoi, Vietnam: A cross-sectional study. Frontiers in Public Health.</w:t>
      </w:r>
    </w:p>
    <w:p>
      <w:pPr>
        <w:ind w:left="567" w:hanging="567"/>
        <w:jc w:val="both"/>
      </w:pPr>
      <w:r>
        <w:rPr>
          <w:sz w:val="24"/>
        </w:rPr>
        <w:t>Nguyễn, C. M. (2012). Chuẩn hóa thang đo Revised Children's Anxiety and Depression Scale cho học sinh Việt Nam.</w:t>
      </w:r>
    </w:p>
    <w:p>
      <w:pPr>
        <w:ind w:left="567" w:hanging="567"/>
        <w:jc w:val="both"/>
      </w:pPr>
      <w:r>
        <w:rPr>
          <w:sz w:val="24"/>
        </w:rPr>
        <w:t>Phạm, V. T., và cộng sự. (2024). Mối liên hệ giữa hỗ trợ xã hội và sức khỏe tâm thần ở thanh thiếu niên tại Huế, Việt Nam.</w:t>
      </w:r>
    </w:p>
    <w:p>
      <w:pPr>
        <w:ind w:left="567" w:hanging="567"/>
        <w:jc w:val="both"/>
      </w:pPr>
      <w:r>
        <w:rPr>
          <w:sz w:val="24"/>
        </w:rPr>
        <w:t>Trần, N. N. (2018). Đánh giá hiệu quả điều trị rối loạn lo âu tổng quát bằng liệu pháp thư giãn–luyện tập [Luận án tiến sĩ y học]. Đại học Y Hà Nội.</w:t>
      </w:r>
    </w:p>
    <w:p>
      <w:pPr>
        <w:ind w:left="567" w:hanging="567"/>
        <w:jc w:val="both"/>
      </w:pPr>
      <w:r>
        <w:rPr>
          <w:sz w:val="24"/>
        </w:rPr>
        <w:t>Trần, T. V., và cộng sự. (2024). Academic stress among students in Vietnam: A three-year longitudinal study on the impact of family, lifestyle, and academic factors. Journal of Rural Medicine.</w:t>
      </w:r>
    </w:p>
    <w:p>
      <w:pPr>
        <w:ind w:left="567" w:hanging="567"/>
        <w:jc w:val="both"/>
      </w:pPr>
      <w:r>
        <w:rPr>
          <w:sz w:val="24"/>
        </w:rPr>
        <w:t>UNICEF Việt Nam, Bộ Lao động – Thương binh và Xã hội, và Tổng cục Thống kê. (2022). Khảo sát Sức khỏe Tâm thần Vị thành niên Việt Nam (V-NAMHS 2022). Hà Nội.</w:t>
      </w:r>
    </w:p>
    <w:p>
      <w:r>
        <w:rPr>
          <w:color w:val="000000"/>
          <w:sz w:val="26"/>
        </w:rPr>
        <w:t>Tiếng Anh</w:t>
      </w:r>
    </w:p>
    <w:p>
      <w:pPr>
        <w:ind w:left="567" w:hanging="567"/>
        <w:jc w:val="both"/>
      </w:pPr>
      <w:r>
        <w:rPr>
          <w:sz w:val="24"/>
        </w:rPr>
        <w:t>Allen, J. L., Lavallee, K. L., Herren, C., Ruhe, K., &amp; Schneider, S. (2010). DSM-IV criteria for childhood separation anxiety disorder: Informant, age, and sex differences. Journal of Anxiety Disorders, 24(8), 946–952. https://doi.org/10.1016/j.janxdis.2010.06.022</w:t>
      </w:r>
    </w:p>
    <w:p>
      <w:pPr>
        <w:ind w:left="567" w:hanging="567"/>
        <w:jc w:val="both"/>
      </w:pPr>
      <w:r>
        <w:rPr>
          <w:sz w:val="24"/>
        </w:rPr>
        <w:t>Beesdo, K., Knappe, S., &amp; Pine, D. S. (2009). Anxiety and anxiety disorders in children and adolescents: Developmental issues and implications for DSM-V. Psychiatric Clinics of North America, 32(3), 483–524. https://doi.org/10.1016/j.psc.2009.06.002</w:t>
      </w:r>
    </w:p>
    <w:p>
      <w:pPr>
        <w:ind w:left="567" w:hanging="567"/>
        <w:jc w:val="both"/>
      </w:pPr>
      <w:r>
        <w:rPr>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1489427. https://doi.org/10.3389/fpsyt.2024.1489427</w:t>
      </w:r>
    </w:p>
    <w:p>
      <w:pPr>
        <w:ind w:left="567" w:hanging="567"/>
        <w:jc w:val="both"/>
      </w:pPr>
      <w:r>
        <w:rPr>
          <w:sz w:val="24"/>
        </w:rPr>
        <w:t>Brown, A., &amp; Carter, R. (2025). School-based mental health interventions in UK secondary schools: A mixed-methods study. Journal of Mental Health.</w:t>
      </w:r>
    </w:p>
    <w:p>
      <w:pPr>
        <w:ind w:left="567" w:hanging="567"/>
        <w:jc w:val="both"/>
      </w:pPr>
      <w:r>
        <w:rPr>
          <w:sz w:val="24"/>
        </w:rPr>
        <w:t>Browne, M. W., &amp; Cudeck, R. (1993). Alternative ways of assessing model fit. In K. A. Bollen &amp; J. S. Long (Eds.), Testing structural equation models (pp. 136–162). SAGE.</w:t>
      </w:r>
    </w:p>
    <w:p>
      <w:pPr>
        <w:ind w:left="567" w:hanging="567"/>
        <w:jc w:val="both"/>
      </w:pPr>
      <w:r>
        <w:rPr>
          <w:sz w:val="24"/>
        </w:rPr>
        <w:t>Brunborg, G. S., Nilsen, S. A., Skogen, J. C., &amp; Bang, L. (2025). Possible explanations for the upward trend in mental distress among adolescents in Norway from 2011 to 2024. Social Science &amp; Medicine, 384, 118528. https://doi.org/10.1016/j.socscimed.2025.118528</w:t>
      </w:r>
    </w:p>
    <w:p>
      <w:pPr>
        <w:ind w:left="567" w:hanging="567"/>
        <w:jc w:val="both"/>
      </w:pPr>
      <w:r>
        <w:rPr>
          <w:sz w:val="24"/>
        </w:rPr>
        <w:t>Cai, S., et al. (2025). Resilience as a protective factor against anxiety in adolescents. Frontiers in Psychiatry.</w:t>
      </w:r>
    </w:p>
    <w:p>
      <w:pPr>
        <w:ind w:left="567" w:hanging="567"/>
        <w:jc w:val="both"/>
      </w:pPr>
      <w:r>
        <w:rPr>
          <w:sz w:val="24"/>
        </w:rPr>
        <w:t>Carver, C. S. (1997). You want to measure coping but your protocol's too long: Consider the Brief COPE. International Journal of Behavioral Medicine, 4(1), 92–100. https://doi.org/10.1207/s15327558ijbm0401_6</w:t>
      </w:r>
    </w:p>
    <w:p>
      <w:pPr>
        <w:ind w:left="567" w:hanging="567"/>
        <w:jc w:val="both"/>
      </w:pPr>
      <w:r>
        <w:rPr>
          <w:sz w:val="24"/>
        </w:rPr>
        <w:t>Cohen, J. (1988). Statistical power analysis for the behavioral sciences (2nd ed.). Lawrence Erlbaum Associates.</w:t>
      </w:r>
    </w:p>
    <w:p>
      <w:pPr>
        <w:ind w:left="567" w:hanging="567"/>
        <w:jc w:val="both"/>
      </w:pPr>
      <w:r>
        <w:rPr>
          <w:sz w:val="24"/>
        </w:rPr>
        <w:t>Compas, B. E., Jaser, S. S., Bettis, A. H., Watson, K. H., Gruhn, M. A., Dunbar, J. P., Williams, E., &amp; Thigpen, J. C. (2017). Coping, emotion regulation, and psychopathology in childhood and adolescence: A meta-analysis and narrative review. Psychological Bulletin, 143(9), 939–991.</w:t>
      </w:r>
    </w:p>
    <w:p>
      <w:pPr>
        <w:ind w:left="567" w:hanging="567"/>
        <w:jc w:val="both"/>
      </w:pPr>
      <w:r>
        <w:rPr>
          <w:sz w:val="24"/>
        </w:rPr>
        <w:t>GBD ASEAN Mental Disorders Collaborators. (2025). Epidemiology and burden of ten mental disorders in the Association of Southeast Asian Nations from 1990 to 2021. The Lancet Regional Health – Southeast Asia.</w:t>
      </w:r>
    </w:p>
    <w:p>
      <w:pPr>
        <w:ind w:left="567" w:hanging="567"/>
        <w:jc w:val="both"/>
      </w:pPr>
      <w:r>
        <w:rPr>
          <w:sz w:val="24"/>
        </w:rPr>
        <w:t>Galante, J., et al. (2023). Mindfulness-based programmes for mental health promotion in adults in non-clinical settings: An IPD meta-analysis. Nature Mental Health, 1(7), 462–476.</w:t>
      </w:r>
    </w:p>
    <w:p>
      <w:pPr>
        <w:ind w:left="567" w:hanging="567"/>
        <w:jc w:val="both"/>
      </w:pPr>
      <w:r>
        <w:rPr>
          <w:sz w:val="24"/>
        </w:rPr>
        <w:t>Hu, L., &amp; Bentler, P. M. (1999). Cutoff criteria for fit indexes in covariance structure analysis: Conventional criteria versus new alternatives. Structural Equation Modeling, 6(1), 1–55.</w:t>
      </w:r>
    </w:p>
    <w:p>
      <w:pPr>
        <w:ind w:left="567" w:hanging="567"/>
        <w:jc w:val="both"/>
      </w:pPr>
      <w:r>
        <w:rPr>
          <w:sz w:val="24"/>
        </w:rPr>
        <w:t>Li, S. H., et al. (2024). ClearlyMe: Co-design of a CBT app for adolescent depression. Cambridge.</w:t>
      </w:r>
    </w:p>
    <w:p>
      <w:pPr>
        <w:ind w:left="567" w:hanging="567"/>
        <w:jc w:val="both"/>
      </w:pPr>
      <w:r>
        <w:rPr>
          <w:sz w:val="24"/>
        </w:rPr>
        <w:t>Li, S. H., et al. (2025). Network meta-analysis of CBT and physical education for adolescent anxiety. BMC Psychiatry.</w:t>
      </w:r>
    </w:p>
    <w:p>
      <w:pPr>
        <w:ind w:left="567" w:hanging="567"/>
        <w:jc w:val="both"/>
      </w:pPr>
      <w:r>
        <w:rPr>
          <w:sz w:val="24"/>
        </w:rPr>
        <w:t>Matsumoto, K., et al. (2024). Internet-based cognitive behavioral therapy for Japanese adolescents with anxiety and depression. JMIR Mental Health.</w:t>
      </w:r>
    </w:p>
    <w:p>
      <w:pPr>
        <w:ind w:left="567" w:hanging="567"/>
        <w:jc w:val="both"/>
      </w:pPr>
      <w:r>
        <w:rPr>
          <w:sz w:val="24"/>
        </w:rPr>
        <w:t>McLean, C. P., Asnaani, A., Litz, B. T., &amp; Hofmann, S. G. (2011). Gender differences in anxiety disorders: Prevalence, course of illness, comorbidity and burden of illness. Journal of Psychiatric Research, 45(8), 1027–1035.</w:t>
      </w:r>
    </w:p>
    <w:p>
      <w:pPr>
        <w:ind w:left="567" w:hanging="567"/>
        <w:jc w:val="both"/>
      </w:pPr>
      <w:r>
        <w:rPr>
          <w:sz w:val="24"/>
        </w:rPr>
        <w:t>Murphy, R., et al. (2024). Peer support in primary youth mental health care: A scoping review. Journal of Community Psychology, 52(1), 154–180.</w:t>
      </w:r>
    </w:p>
    <w:p>
      <w:pPr>
        <w:ind w:left="567" w:hanging="567"/>
        <w:jc w:val="both"/>
      </w:pPr>
      <w:r>
        <w:rPr>
          <w:sz w:val="24"/>
        </w:rPr>
        <w:t>Pascoe, M. C., Hetrick, S. E., &amp; Parker, A. G. (2020). The impact of stress on students in secondary school and higher education. International Journal of Adolescence and Youth, 25(1), 104–112. https://doi.org/10.1080/02673843.2019.1596823</w:t>
      </w:r>
    </w:p>
    <w:p>
      <w:pPr>
        <w:ind w:left="567" w:hanging="567"/>
        <w:jc w:val="both"/>
      </w:pPr>
      <w:r>
        <w:rPr>
          <w:sz w:val="24"/>
        </w:rPr>
        <w:t>Rapee, R. M., &amp; Spence, S. H. (2004). The etiology of social phobia: Empirical evidence and an initial model. Clinical Psychology Review, 24(7), 737–767.</w:t>
      </w:r>
    </w:p>
    <w:p>
      <w:pPr>
        <w:ind w:left="567" w:hanging="567"/>
        <w:jc w:val="both"/>
      </w:pPr>
      <w:r>
        <w:rPr>
          <w:sz w:val="24"/>
        </w:rPr>
        <w:t>Salk, R. H., Hyde, J. S., &amp; Abramson, L. Y. (2017). Gender differences in depression in representative national samples: Meta-analyses of diagnoses and symptoms. Psychological Bulletin, 143(8), 783–822.</w:t>
      </w:r>
    </w:p>
    <w:p>
      <w:pPr>
        <w:ind w:left="567" w:hanging="567"/>
        <w:jc w:val="both"/>
      </w:pPr>
      <w:r>
        <w:rPr>
          <w:sz w:val="24"/>
        </w:rPr>
        <w:t>Samele, C., et al. (2025). ClearFear app for adolescent anxiety. JMIR Formative Research.</w:t>
      </w:r>
    </w:p>
    <w:p>
      <w:pPr>
        <w:ind w:left="567" w:hanging="567"/>
        <w:jc w:val="both"/>
      </w:pPr>
      <w:r>
        <w:rPr>
          <w:sz w:val="24"/>
        </w:rPr>
        <w:t>Schmidt-Persson, J., et al. (2024). Screen media use and mental health of children and adolescents: A secondary analysis of the SCREENS-Kids randomized clinical trial. JAMA Network Open, 7(1), e2354033.</w:t>
      </w:r>
    </w:p>
    <w:p>
      <w:pPr>
        <w:ind w:left="567" w:hanging="567"/>
        <w:jc w:val="both"/>
      </w:pPr>
      <w:r>
        <w:rPr>
          <w:sz w:val="24"/>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w:t>
      </w:r>
    </w:p>
    <w:p>
      <w:pPr>
        <w:ind w:left="567" w:hanging="567"/>
        <w:jc w:val="both"/>
      </w:pPr>
      <w:r>
        <w:rPr>
          <w:sz w:val="24"/>
        </w:rPr>
        <w:t>World Health Organization. (2022). World mental health report: Transforming mental health for all. Geneva: WHO.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