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ĐÁNH GIÁ PHẦN BÀN LUẬN (3.6) CỦA CÁC BẠN TRỢ LÝ</w:t>
        <w:br/>
        <w:t>VÀ CÁCH QUY VỀ TỶ LỆ % CHO BÁO CÁO</w:t>
        <w:br/>
        <w:t>— Trả lời câu hỏi của thầy ngày 09/05/2026 —</w:t>
      </w:r>
    </w:p>
    <w:p>
      <w:pPr>
        <w:jc w:val="both"/>
      </w:pPr>
      <w:r>
        <w:rPr>
          <w:b w:val="0"/>
          <w:i w:val="0"/>
          <w:color w:val="000000"/>
          <w:sz w:val="24"/>
        </w:rPr>
      </w:r>
    </w:p>
    <w:p>
      <w:r>
        <w:rPr>
          <w:b/>
          <w:color w:val="1F497D"/>
          <w:sz w:val="26"/>
        </w:rPr>
        <w:t>Câu hỏi của thầy</w:t>
      </w:r>
    </w:p>
    <w:p>
      <w:pPr>
        <w:jc w:val="both"/>
      </w:pPr>
      <w:r>
        <w:rPr>
          <w:b w:val="0"/>
          <w:i/>
          <w:color w:val="0070C0"/>
          <w:sz w:val="24"/>
        </w:rPr>
        <w:t>(1) Em xem bình luận của Bạn trợ lý của C.H có ổn không nhé? Thầy không hiểu biết gì nhiều về lĩnh vực này, ngoài những kiến thức mới học được từ Em trong thời gian qua. Các bạn trợ lý đã báo cáo trong file 00_Bình luận số liệu-v2.</w:t>
      </w:r>
    </w:p>
    <w:p>
      <w:pPr>
        <w:jc w:val="both"/>
      </w:pPr>
      <w:r>
        <w:rPr>
          <w:b w:val="0"/>
          <w:i/>
          <w:color w:val="0070C0"/>
          <w:sz w:val="24"/>
        </w:rPr>
        <w:t>(2) Tại sao số liệu thực trạng này lại không quy ra % như nhiều nghiên cứu khác?</w:t>
      </w:r>
    </w:p>
    <w:p>
      <w:pPr>
        <w:jc w:val="both"/>
      </w:pPr>
      <w:r>
        <w:rPr>
          <w:b w:val="0"/>
          <w:i/>
          <w:color w:val="0070C0"/>
          <w:sz w:val="24"/>
        </w:rPr>
        <w:t>(3) Có cách nào quy về % để có bức tranh thô về RLLA của HS không?</w:t>
      </w:r>
    </w:p>
    <w:p>
      <w:r>
        <w:rPr>
          <w:b/>
          <w:color w:val="1F497D"/>
          <w:sz w:val="26"/>
        </w:rPr>
        <w:t>PHẦN I — Đánh giá Bàn luận của các bạn trợ lý (đoạn 180–189 trong file v2)</w:t>
      </w:r>
    </w:p>
    <w:p>
      <w:pPr>
        <w:jc w:val="both"/>
      </w:pPr>
      <w:r>
        <w:rPr>
          <w:b/>
          <w:i w:val="0"/>
          <w:color w:val="000000"/>
          <w:sz w:val="24"/>
        </w:rPr>
        <w:t>Bình luận tổng:</w:t>
      </w:r>
    </w:p>
    <w:p>
      <w:pPr>
        <w:jc w:val="both"/>
      </w:pPr>
      <w:r>
        <w:rPr>
          <w:b w:val="0"/>
          <w:i w:val="0"/>
          <w:color w:val="000000"/>
          <w:sz w:val="24"/>
        </w:rPr>
        <w:t>Phần Bàn luận có CẤU TRÚC TỐT — có dẫn chứng từ y văn quốc tế và Việt Nam, có kết luận hợp lý. Tuy nhiên, vẫn còn 6 điểm CẦN CẢI THIỆN — chủ yếu do BỎ QUA các phát hiện ĐẶC BIỆT của dữ liệu, gây mất giá trị khoa học.</w:t>
      </w:r>
    </w:p>
    <w:p>
      <w:pPr>
        <w:jc w:val="both"/>
      </w:pPr>
      <w:r>
        <w:rPr>
          <w:b w:val="0"/>
          <w:i w:val="0"/>
          <w:color w:val="000000"/>
          <w:sz w:val="24"/>
        </w:rPr>
      </w:r>
    </w:p>
    <w:p>
      <w:r>
        <w:rPr>
          <w:b/>
          <w:color w:val="007030"/>
          <w:sz w:val="24"/>
        </w:rPr>
        <w:t>1. ƯU điểm</w:t>
      </w:r>
    </w:p>
    <w:p>
      <w:pPr>
        <w:jc w:val="both"/>
      </w:pPr>
      <w:r>
        <w:rPr>
          <w:b w:val="0"/>
          <w:i w:val="0"/>
          <w:color w:val="000000"/>
          <w:sz w:val="24"/>
        </w:rPr>
        <w:t>• Có cấu trúc theo từng yếu tố (đoạn 180-188).</w:t>
      </w:r>
    </w:p>
    <w:p>
      <w:pPr>
        <w:jc w:val="both"/>
      </w:pPr>
      <w:r>
        <w:rPr>
          <w:b w:val="0"/>
          <w:i w:val="0"/>
          <w:color w:val="000000"/>
          <w:sz w:val="24"/>
        </w:rPr>
        <w:t>• Có dẫn chứng cả VN (Ngô Anh Vinh 2022, Lê T.P. Thanh 2024, Đinh Văn Tài 2021) và quốc tế (Carver 1997, Steare 2023, Li 2025, ...).</w:t>
      </w:r>
    </w:p>
    <w:p>
      <w:pPr>
        <w:jc w:val="both"/>
      </w:pPr>
      <w:r>
        <w:rPr>
          <w:b w:val="0"/>
          <w:i w:val="0"/>
          <w:color w:val="000000"/>
          <w:sz w:val="24"/>
        </w:rPr>
        <w:t>• Phát hiện mạnh nhất (áp lực học tập) được nêu rõ — đoạn 183.</w:t>
      </w:r>
    </w:p>
    <w:p>
      <w:pPr>
        <w:jc w:val="both"/>
      </w:pPr>
      <w:r>
        <w:rPr>
          <w:b w:val="0"/>
          <w:i w:val="0"/>
          <w:color w:val="000000"/>
          <w:sz w:val="24"/>
        </w:rPr>
        <w:t>• Có giải thích β BPĐP DƯƠNG là maladaptive coping — đoạn 188.</w:t>
      </w:r>
    </w:p>
    <w:p>
      <w:r>
        <w:rPr>
          <w:b/>
          <w:color w:val="C00000"/>
          <w:sz w:val="24"/>
        </w:rPr>
        <w:t>2. SÁU NHƯỢC điểm cần cải thiện</w:t>
      </w:r>
    </w:p>
    <w:p>
      <w:r>
        <w:rPr>
          <w:b/>
          <w:color w:val="000000"/>
          <w:sz w:val="24"/>
        </w:rPr>
        <w:t>2.1. Lỗi năm "Nguyễn Thị Vân (2018)" — KHÔNG CHÍNH XÁC</w:t>
      </w:r>
    </w:p>
    <w:p>
      <w:pPr>
        <w:jc w:val="both"/>
      </w:pPr>
      <w:r>
        <w:rPr>
          <w:b w:val="0"/>
          <w:i w:val="0"/>
          <w:color w:val="000000"/>
          <w:sz w:val="24"/>
        </w:rPr>
        <w:t>Đoạn 183 ghi "Nguyễn Thị Vân (2018)". Trong cơ sở dữ liệu dự án, VN004 Nguyễn Thị Vân là năm 2020 (descriptor: NguyenThiVan_2020_STAI_TPHCM). Em đã verify trước đây — chỉ có bản 2020, không có bản 2018.</w:t>
      </w:r>
    </w:p>
    <w:p>
      <w:pPr>
        <w:jc w:val="both"/>
      </w:pPr>
      <w:r>
        <w:rPr>
          <w:b/>
          <w:i w:val="0"/>
          <w:color w:val="000000"/>
          <w:sz w:val="24"/>
        </w:rPr>
        <w:t>Đề xuất sửa: "Nguyễn Thị Vân (2020)".</w:t>
      </w:r>
    </w:p>
    <w:p>
      <w:r>
        <w:rPr>
          <w:b/>
          <w:color w:val="000000"/>
          <w:sz w:val="24"/>
        </w:rPr>
        <w:t>2.2. BỎ QUA phát hiện đặc biệt về BNHĐ → lo âu CHIA LY</w:t>
      </w:r>
    </w:p>
    <w:p>
      <w:pPr>
        <w:jc w:val="both"/>
      </w:pPr>
      <w:r>
        <w:rPr>
          <w:b w:val="0"/>
          <w:i w:val="0"/>
          <w:color w:val="000000"/>
          <w:sz w:val="24"/>
        </w:rPr>
        <w:t>Đoạn 185 nói chung chung "bắt nạt là yếu tố nguy cơ". KHÔNG NÊU phát hiện CỰC KỲ ĐẶC BIỆT: β BNHĐ → RLLACL = 0,376 — MẠNH NHẤT trong ba dạng RLLA, MẠNH HƠN cả β → RLLATQ (0,215) và β → RLLAXH (0,253). Đây là pattern KHÁC BIỆT với áp lực học tập (mạnh nhất ở RLLATQ) và tự trọng (mạnh nhất ở RLLATQ).</w:t>
      </w:r>
    </w:p>
    <w:p>
      <w:pPr>
        <w:jc w:val="both"/>
      </w:pPr>
      <w:r>
        <w:rPr>
          <w:b w:val="0"/>
          <w:i w:val="0"/>
          <w:color w:val="000000"/>
          <w:sz w:val="24"/>
        </w:rPr>
        <w:t>Cơ chế giải thích: bắt nạt → mất AN TOÀN ở trường → tránh né trường ("school refusal") → biểu hiện như lo âu chia ly. Đặc thù lứa tuổi THCS đang chuyển tiếp.</w:t>
      </w:r>
    </w:p>
    <w:p>
      <w:pPr>
        <w:jc w:val="both"/>
      </w:pPr>
      <w:r>
        <w:rPr>
          <w:b/>
          <w:i w:val="0"/>
          <w:color w:val="000000"/>
          <w:sz w:val="24"/>
        </w:rPr>
        <w:t>Đề xuất bổ sung: nêu phát hiện này như đóng góp ĐỘC ĐÁO của luận án.</w:t>
      </w:r>
    </w:p>
    <w:p>
      <w:r>
        <w:rPr>
          <w:b/>
          <w:color w:val="000000"/>
          <w:sz w:val="24"/>
        </w:rPr>
        <w:t>2.3. BỎ QUA cảnh báo về fit indices KÉM của BPĐP</w:t>
      </w:r>
    </w:p>
    <w:p>
      <w:pPr>
        <w:jc w:val="both"/>
      </w:pPr>
      <w:r>
        <w:rPr>
          <w:b w:val="0"/>
          <w:i w:val="0"/>
          <w:color w:val="000000"/>
          <w:sz w:val="24"/>
        </w:rPr>
        <w:t>Đoạn 188 nêu mô hình BPĐP có β dương — đúng. Nhưng KHÔNG cảnh báo: mô hình BPĐP có FIT KÉM trên TẤT CẢ tổ hợp:</w:t>
      </w:r>
    </w:p>
    <w:p>
      <w:pPr>
        <w:jc w:val="both"/>
      </w:pPr>
      <w:r>
        <w:rPr>
          <w:b w:val="0"/>
          <w:i w:val="0"/>
          <w:color w:val="000000"/>
          <w:sz w:val="24"/>
        </w:rPr>
        <w:t>• RMSEA 0,080–0,204 (vượt ngưỡng "good fit" 0,06; thậm chí 0,204 = RẤT KÉM)</w:t>
      </w:r>
    </w:p>
    <w:p>
      <w:pPr>
        <w:jc w:val="both"/>
      </w:pPr>
      <w:r>
        <w:rPr>
          <w:b w:val="0"/>
          <w:i w:val="0"/>
          <w:color w:val="000000"/>
          <w:sz w:val="24"/>
        </w:rPr>
        <w:t>• CFI 0,865–0,911 (dưới ngưỡng 0,95)</w:t>
      </w:r>
    </w:p>
    <w:p>
      <w:pPr>
        <w:jc w:val="both"/>
      </w:pPr>
      <w:r>
        <w:rPr>
          <w:b w:val="0"/>
          <w:i w:val="0"/>
          <w:color w:val="000000"/>
          <w:sz w:val="24"/>
        </w:rPr>
        <w:t>• χ²/df 9,6–57,3 (vượt xa ngưỡng 5)</w:t>
      </w:r>
    </w:p>
    <w:p>
      <w:pPr>
        <w:jc w:val="both"/>
      </w:pPr>
      <w:r>
        <w:rPr>
          <w:b w:val="0"/>
          <w:i w:val="0"/>
          <w:color w:val="000000"/>
          <w:sz w:val="24"/>
        </w:rPr>
        <w:t>Theo Hu &amp; Bentler (1999), mô hình có RMSEA &gt; 0,10 KHÔNG NÊN báo cáo làm phát hiện chính. Việc β = 0,749 hấp dẫn nhưng KHÔNG đáng tin do mô hình specification có vấn đề.</w:t>
      </w:r>
    </w:p>
    <w:p>
      <w:pPr>
        <w:jc w:val="both"/>
      </w:pPr>
      <w:r>
        <w:rPr>
          <w:b/>
          <w:i w:val="0"/>
          <w:color w:val="000000"/>
          <w:sz w:val="24"/>
        </w:rPr>
        <w:t>Đề xuất bổ sung: nêu cảnh báo này, đề xuất phân tách Brief-COPE 14 nhân tố thay vì 3 nhóm.</w:t>
      </w:r>
    </w:p>
    <w:p>
      <w:r>
        <w:rPr>
          <w:b/>
          <w:color w:val="000000"/>
          <w:sz w:val="24"/>
        </w:rPr>
        <w:t>2.4. KHÔNG nêu rõ pattern chênh lệch giới theo loại RLLA</w:t>
      </w:r>
    </w:p>
    <w:p>
      <w:pPr>
        <w:jc w:val="both"/>
      </w:pPr>
      <w:r>
        <w:rPr>
          <w:b w:val="0"/>
          <w:i w:val="0"/>
          <w:color w:val="000000"/>
          <w:sz w:val="24"/>
        </w:rPr>
        <w:t>Đoạn 181 nói "nữ &gt; nam" chung chung. Thực tế dữ liệu cho thấy pattern BA TẦNG:</w:t>
      </w:r>
    </w:p>
    <w:p>
      <w:pPr>
        <w:jc w:val="both"/>
      </w:pPr>
      <w:r>
        <w:rPr>
          <w:b w:val="0"/>
          <w:i w:val="0"/>
          <w:color w:val="000000"/>
          <w:sz w:val="24"/>
        </w:rPr>
        <w:t>• RLLATQ (tổng quát): F=44,484; Cohen d=0,365 — chênh lệch giới CÓ Ý NGHĨA</w:t>
      </w:r>
    </w:p>
    <w:p>
      <w:pPr>
        <w:jc w:val="both"/>
      </w:pPr>
      <w:r>
        <w:rPr>
          <w:b w:val="0"/>
          <w:i w:val="0"/>
          <w:color w:val="000000"/>
          <w:sz w:val="24"/>
        </w:rPr>
        <w:t>• RLLAXH (xã hội): F=45,984; Cohen d=0,370 — chênh lệch giới CÓ Ý NGHĨA, gần ngang RLLATQ</w:t>
      </w:r>
    </w:p>
    <w:p>
      <w:pPr>
        <w:jc w:val="both"/>
      </w:pPr>
      <w:r>
        <w:rPr>
          <w:b w:val="0"/>
          <w:i w:val="0"/>
          <w:color w:val="000000"/>
          <w:sz w:val="24"/>
        </w:rPr>
        <w:t>• RLLAC (chia ly): F=0,246 (NS); d≈0,03 — KHÔNG có chênh lệch giới</w:t>
      </w:r>
    </w:p>
    <w:p>
      <w:pPr>
        <w:jc w:val="both"/>
      </w:pPr>
      <w:r>
        <w:rPr>
          <w:b w:val="0"/>
          <w:i w:val="0"/>
          <w:color w:val="000000"/>
          <w:sz w:val="24"/>
        </w:rPr>
        <w:t>Phát biểu CHÍNH XÁC: "Chênh lệch giới CHỈ XUẤT HIỆN ở RLLATQ và RLLAXH, KHÔNG xuất hiện ở RLLACL — phù hợp khung phát triển: lo âu chia ly là rối loạn khởi phát sớm, không có cơ sở nội tiết-xã hội cho chênh lệch giới."</w:t>
      </w:r>
    </w:p>
    <w:p>
      <w:pPr>
        <w:jc w:val="both"/>
      </w:pPr>
      <w:r>
        <w:rPr>
          <w:b/>
          <w:i w:val="0"/>
          <w:color w:val="000000"/>
          <w:sz w:val="24"/>
        </w:rPr>
        <w:t>Đề xuất bổ sung: nêu rõ pattern ba tầng này.</w:t>
      </w:r>
    </w:p>
    <w:p>
      <w:r>
        <w:rPr>
          <w:b/>
          <w:color w:val="000000"/>
          <w:sz w:val="24"/>
        </w:rPr>
        <w:t>2.5. CHƯA so sánh CƯỜNG ĐỘ tương đối các yếu tố</w:t>
      </w:r>
    </w:p>
    <w:p>
      <w:pPr>
        <w:jc w:val="both"/>
      </w:pPr>
      <w:r>
        <w:rPr>
          <w:b w:val="0"/>
          <w:i w:val="0"/>
          <w:color w:val="000000"/>
          <w:sz w:val="24"/>
        </w:rPr>
        <w:t>Bàn luận đề cập từng yếu tố RIÊNG LẺ nhưng KHÔNG SO SÁNH cường độ chuẩn hóa giữa các yếu tố. Cần một bảng tổng:</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sz w:val="20"/>
              </w:rPr>
              <w:t>Yếu tố</w:t>
            </w:r>
          </w:p>
        </w:tc>
        <w:tc>
          <w:tcPr>
            <w:tcW w:type="dxa" w:w="2422"/>
          </w:tcPr>
          <w:p>
            <w:r>
              <w:rPr>
                <w:rFonts w:ascii="Times New Roman" w:hAnsi="Times New Roman"/>
                <w:sz w:val="20"/>
              </w:rPr>
              <w:t>|β| → RLLA tổng</w:t>
            </w:r>
          </w:p>
        </w:tc>
        <w:tc>
          <w:tcPr>
            <w:tcW w:type="dxa" w:w="2422"/>
          </w:tcPr>
          <w:p>
            <w:r>
              <w:rPr>
                <w:rFonts w:ascii="Times New Roman" w:hAnsi="Times New Roman"/>
                <w:sz w:val="20"/>
              </w:rPr>
              <w:t>Cấp</w:t>
            </w:r>
          </w:p>
        </w:tc>
        <w:tc>
          <w:tcPr>
            <w:tcW w:type="dxa" w:w="2422"/>
          </w:tcPr>
          <w:p>
            <w:r>
              <w:rPr>
                <w:rFonts w:ascii="Times New Roman" w:hAnsi="Times New Roman"/>
                <w:sz w:val="20"/>
              </w:rPr>
              <w:t>Đánh giá</w:t>
            </w:r>
          </w:p>
        </w:tc>
      </w:tr>
      <w:tr>
        <w:tc>
          <w:tcPr>
            <w:tcW w:type="dxa" w:w="2422"/>
          </w:tcPr>
          <w:p>
            <w:r>
              <w:rPr>
                <w:rFonts w:ascii="Times New Roman" w:hAnsi="Times New Roman"/>
                <w:sz w:val="20"/>
              </w:rPr>
              <w:t>BPĐP (đối phó)</w:t>
            </w:r>
          </w:p>
        </w:tc>
        <w:tc>
          <w:tcPr>
            <w:tcW w:type="dxa" w:w="2422"/>
          </w:tcPr>
          <w:p>
            <w:r>
              <w:rPr>
                <w:rFonts w:ascii="Times New Roman" w:hAnsi="Times New Roman"/>
                <w:sz w:val="20"/>
              </w:rPr>
              <w:t>0,735</w:t>
            </w:r>
          </w:p>
        </w:tc>
        <w:tc>
          <w:tcPr>
            <w:tcW w:type="dxa" w:w="2422"/>
          </w:tcPr>
          <w:p>
            <w:r>
              <w:rPr>
                <w:rFonts w:ascii="Times New Roman" w:hAnsi="Times New Roman"/>
                <w:sz w:val="20"/>
              </w:rPr>
              <w:t>cấp 1.5</w:t>
            </w:r>
          </w:p>
        </w:tc>
        <w:tc>
          <w:tcPr>
            <w:tcW w:type="dxa" w:w="2422"/>
          </w:tcPr>
          <w:p>
            <w:r>
              <w:rPr>
                <w:rFonts w:ascii="Times New Roman" w:hAnsi="Times New Roman"/>
                <w:sz w:val="20"/>
              </w:rPr>
              <w:t>⚠ fit KÉM, không đáng tin</w:t>
            </w:r>
          </w:p>
        </w:tc>
      </w:tr>
      <w:tr>
        <w:tc>
          <w:tcPr>
            <w:tcW w:type="dxa" w:w="2422"/>
          </w:tcPr>
          <w:p>
            <w:r>
              <w:rPr>
                <w:rFonts w:ascii="Times New Roman" w:hAnsi="Times New Roman"/>
                <w:sz w:val="20"/>
              </w:rPr>
              <w:t>ALHT (áp lực học tập)</w:t>
            </w:r>
          </w:p>
        </w:tc>
        <w:tc>
          <w:tcPr>
            <w:tcW w:type="dxa" w:w="2422"/>
          </w:tcPr>
          <w:p>
            <w:r>
              <w:rPr>
                <w:rFonts w:ascii="Times New Roman" w:hAnsi="Times New Roman"/>
                <w:sz w:val="20"/>
              </w:rPr>
              <w:t>0,533</w:t>
            </w:r>
          </w:p>
        </w:tc>
        <w:tc>
          <w:tcPr>
            <w:tcW w:type="dxa" w:w="2422"/>
          </w:tcPr>
          <w:p>
            <w:r>
              <w:rPr>
                <w:rFonts w:ascii="Times New Roman" w:hAnsi="Times New Roman"/>
                <w:sz w:val="20"/>
              </w:rPr>
              <w:t>cấp 1</w:t>
            </w:r>
          </w:p>
        </w:tc>
        <w:tc>
          <w:tcPr>
            <w:tcW w:type="dxa" w:w="2422"/>
          </w:tcPr>
          <w:p>
            <w:r>
              <w:rPr>
                <w:rFonts w:ascii="Times New Roman" w:hAnsi="Times New Roman"/>
                <w:sz w:val="20"/>
              </w:rPr>
              <w:t>MẠNH — fit tốt</w:t>
            </w:r>
          </w:p>
        </w:tc>
      </w:tr>
      <w:tr>
        <w:tc>
          <w:tcPr>
            <w:tcW w:type="dxa" w:w="2422"/>
          </w:tcPr>
          <w:p>
            <w:r>
              <w:rPr>
                <w:rFonts w:ascii="Times New Roman" w:hAnsi="Times New Roman"/>
                <w:sz w:val="20"/>
              </w:rPr>
              <w:t>Tự trọng (TTr)</w:t>
            </w:r>
          </w:p>
        </w:tc>
        <w:tc>
          <w:tcPr>
            <w:tcW w:type="dxa" w:w="2422"/>
          </w:tcPr>
          <w:p>
            <w:r>
              <w:rPr>
                <w:rFonts w:ascii="Times New Roman" w:hAnsi="Times New Roman"/>
                <w:sz w:val="20"/>
              </w:rPr>
              <w:t>0,457 (âm)</w:t>
            </w:r>
          </w:p>
        </w:tc>
        <w:tc>
          <w:tcPr>
            <w:tcW w:type="dxa" w:w="2422"/>
          </w:tcPr>
          <w:p>
            <w:r>
              <w:rPr>
                <w:rFonts w:ascii="Times New Roman" w:hAnsi="Times New Roman"/>
                <w:sz w:val="20"/>
              </w:rPr>
              <w:t>cấp 1</w:t>
            </w:r>
          </w:p>
        </w:tc>
        <w:tc>
          <w:tcPr>
            <w:tcW w:type="dxa" w:w="2422"/>
          </w:tcPr>
          <w:p>
            <w:r>
              <w:rPr>
                <w:rFonts w:ascii="Times New Roman" w:hAnsi="Times New Roman"/>
                <w:sz w:val="20"/>
              </w:rPr>
              <w:t>BẢO VỆ MẠNH — fit tốt</w:t>
            </w:r>
          </w:p>
        </w:tc>
      </w:tr>
      <w:tr>
        <w:tc>
          <w:tcPr>
            <w:tcW w:type="dxa" w:w="2422"/>
          </w:tcPr>
          <w:p>
            <w:r>
              <w:rPr>
                <w:rFonts w:ascii="Times New Roman" w:hAnsi="Times New Roman"/>
                <w:sz w:val="20"/>
              </w:rPr>
              <w:t>NĐT (nghiện điện thoại)</w:t>
            </w:r>
          </w:p>
        </w:tc>
        <w:tc>
          <w:tcPr>
            <w:tcW w:type="dxa" w:w="2422"/>
          </w:tcPr>
          <w:p>
            <w:r>
              <w:rPr>
                <w:rFonts w:ascii="Times New Roman" w:hAnsi="Times New Roman"/>
                <w:sz w:val="20"/>
              </w:rPr>
              <w:t>0,400</w:t>
            </w:r>
          </w:p>
        </w:tc>
        <w:tc>
          <w:tcPr>
            <w:tcW w:type="dxa" w:w="2422"/>
          </w:tcPr>
          <w:p>
            <w:r>
              <w:rPr>
                <w:rFonts w:ascii="Times New Roman" w:hAnsi="Times New Roman"/>
                <w:sz w:val="20"/>
              </w:rPr>
              <w:t>cấp 1</w:t>
            </w:r>
          </w:p>
        </w:tc>
        <w:tc>
          <w:tcPr>
            <w:tcW w:type="dxa" w:w="2422"/>
          </w:tcPr>
          <w:p>
            <w:r>
              <w:rPr>
                <w:rFonts w:ascii="Times New Roman" w:hAnsi="Times New Roman"/>
                <w:sz w:val="20"/>
              </w:rPr>
              <w:t>MẠNH — fit tốt</w:t>
            </w:r>
          </w:p>
        </w:tc>
      </w:tr>
      <w:tr>
        <w:tc>
          <w:tcPr>
            <w:tcW w:type="dxa" w:w="2422"/>
          </w:tcPr>
          <w:p>
            <w:r>
              <w:rPr>
                <w:rFonts w:ascii="Times New Roman" w:hAnsi="Times New Roman"/>
                <w:sz w:val="20"/>
              </w:rPr>
              <w:t>BNHĐ (bắt nạt)</w:t>
            </w:r>
          </w:p>
        </w:tc>
        <w:tc>
          <w:tcPr>
            <w:tcW w:type="dxa" w:w="2422"/>
          </w:tcPr>
          <w:p>
            <w:r>
              <w:rPr>
                <w:rFonts w:ascii="Times New Roman" w:hAnsi="Times New Roman"/>
                <w:sz w:val="20"/>
              </w:rPr>
              <w:t>0,276</w:t>
            </w:r>
          </w:p>
        </w:tc>
        <w:tc>
          <w:tcPr>
            <w:tcW w:type="dxa" w:w="2422"/>
          </w:tcPr>
          <w:p>
            <w:r>
              <w:rPr>
                <w:rFonts w:ascii="Times New Roman" w:hAnsi="Times New Roman"/>
                <w:sz w:val="20"/>
              </w:rPr>
              <w:t>cấp 1</w:t>
            </w:r>
          </w:p>
        </w:tc>
        <w:tc>
          <w:tcPr>
            <w:tcW w:type="dxa" w:w="2422"/>
          </w:tcPr>
          <w:p>
            <w:r>
              <w:rPr>
                <w:rFonts w:ascii="Times New Roman" w:hAnsi="Times New Roman"/>
                <w:sz w:val="20"/>
              </w:rPr>
              <w:t>TRUNG BÌNH — fit chấp nhận</w:t>
            </w:r>
          </w:p>
        </w:tc>
      </w:tr>
      <w:tr>
        <w:tc>
          <w:tcPr>
            <w:tcW w:type="dxa" w:w="2422"/>
          </w:tcPr>
          <w:p>
            <w:r>
              <w:rPr>
                <w:rFonts w:ascii="Times New Roman" w:hAnsi="Times New Roman"/>
                <w:sz w:val="20"/>
              </w:rPr>
              <w:t>HTCM (hỗ trợ cha mẹ)</w:t>
            </w:r>
          </w:p>
        </w:tc>
        <w:tc>
          <w:tcPr>
            <w:tcW w:type="dxa" w:w="2422"/>
          </w:tcPr>
          <w:p>
            <w:r>
              <w:rPr>
                <w:rFonts w:ascii="Times New Roman" w:hAnsi="Times New Roman"/>
                <w:sz w:val="20"/>
              </w:rPr>
              <w:t>0,234 (âm)</w:t>
            </w:r>
          </w:p>
        </w:tc>
        <w:tc>
          <w:tcPr>
            <w:tcW w:type="dxa" w:w="2422"/>
          </w:tcPr>
          <w:p>
            <w:r>
              <w:rPr>
                <w:rFonts w:ascii="Times New Roman" w:hAnsi="Times New Roman"/>
                <w:sz w:val="20"/>
              </w:rPr>
              <w:t>cấp 1</w:t>
            </w:r>
          </w:p>
        </w:tc>
        <w:tc>
          <w:tcPr>
            <w:tcW w:type="dxa" w:w="2422"/>
          </w:tcPr>
          <w:p>
            <w:r>
              <w:rPr>
                <w:rFonts w:ascii="Times New Roman" w:hAnsi="Times New Roman"/>
                <w:sz w:val="20"/>
              </w:rPr>
              <w:t>BẢO VỆ TRUNG BÌNH</w:t>
            </w:r>
          </w:p>
        </w:tc>
      </w:tr>
      <w:tr>
        <w:tc>
          <w:tcPr>
            <w:tcW w:type="dxa" w:w="2422"/>
          </w:tcPr>
          <w:p>
            <w:r>
              <w:rPr>
                <w:rFonts w:ascii="Times New Roman" w:hAnsi="Times New Roman"/>
                <w:sz w:val="20"/>
              </w:rPr>
              <w:t>GBTH (gắn bó trường)</w:t>
            </w:r>
          </w:p>
        </w:tc>
        <w:tc>
          <w:tcPr>
            <w:tcW w:type="dxa" w:w="2422"/>
          </w:tcPr>
          <w:p>
            <w:r>
              <w:rPr>
                <w:rFonts w:ascii="Times New Roman" w:hAnsi="Times New Roman"/>
                <w:sz w:val="20"/>
              </w:rPr>
              <w:t>0,155 (âm)</w:t>
            </w:r>
          </w:p>
        </w:tc>
        <w:tc>
          <w:tcPr>
            <w:tcW w:type="dxa" w:w="2422"/>
          </w:tcPr>
          <w:p>
            <w:r>
              <w:rPr>
                <w:rFonts w:ascii="Times New Roman" w:hAnsi="Times New Roman"/>
                <w:sz w:val="20"/>
              </w:rPr>
              <w:t>cấp 1</w:t>
            </w:r>
          </w:p>
        </w:tc>
        <w:tc>
          <w:tcPr>
            <w:tcW w:type="dxa" w:w="2422"/>
          </w:tcPr>
          <w:p>
            <w:r>
              <w:rPr>
                <w:rFonts w:ascii="Times New Roman" w:hAnsi="Times New Roman"/>
                <w:sz w:val="20"/>
              </w:rPr>
              <w:t>BẢO VỆ NHỎ</w:t>
            </w:r>
          </w:p>
        </w:tc>
      </w:tr>
      <w:tr>
        <w:tc>
          <w:tcPr>
            <w:tcW w:type="dxa" w:w="2422"/>
          </w:tcPr>
          <w:p>
            <w:r>
              <w:rPr>
                <w:rFonts w:ascii="Times New Roman" w:hAnsi="Times New Roman"/>
                <w:sz w:val="20"/>
              </w:rPr>
              <w:t>HTBB (hỗ trợ bạn bè)</w:t>
            </w:r>
          </w:p>
        </w:tc>
        <w:tc>
          <w:tcPr>
            <w:tcW w:type="dxa" w:w="2422"/>
          </w:tcPr>
          <w:p>
            <w:r>
              <w:rPr>
                <w:rFonts w:ascii="Times New Roman" w:hAnsi="Times New Roman"/>
                <w:sz w:val="20"/>
              </w:rPr>
              <w:t>0,044 (NS)</w:t>
            </w:r>
          </w:p>
        </w:tc>
        <w:tc>
          <w:tcPr>
            <w:tcW w:type="dxa" w:w="2422"/>
          </w:tcPr>
          <w:p>
            <w:r>
              <w:rPr>
                <w:rFonts w:ascii="Times New Roman" w:hAnsi="Times New Roman"/>
                <w:sz w:val="20"/>
              </w:rPr>
              <w:t>cấp 1</w:t>
            </w:r>
          </w:p>
        </w:tc>
        <w:tc>
          <w:tcPr>
            <w:tcW w:type="dxa" w:w="2422"/>
          </w:tcPr>
          <w:p>
            <w:r>
              <w:rPr>
                <w:rFonts w:ascii="Times New Roman" w:hAnsi="Times New Roman"/>
                <w:sz w:val="20"/>
              </w:rPr>
              <w:t>KHÔNG có ý nghĩa thống kê</w:t>
            </w:r>
          </w:p>
        </w:tc>
      </w:tr>
    </w:tbl>
    <w:p>
      <w:pPr>
        <w:jc w:val="both"/>
      </w:pPr>
      <w:r>
        <w:rPr>
          <w:b/>
          <w:i w:val="0"/>
          <w:color w:val="000000"/>
          <w:sz w:val="24"/>
        </w:rPr>
        <w:t>Đề xuất bổ sung: bảng so sánh + xếp hạng cường độ.</w:t>
      </w:r>
    </w:p>
    <w:p>
      <w:r>
        <w:rPr>
          <w:b/>
          <w:color w:val="000000"/>
          <w:sz w:val="24"/>
        </w:rPr>
        <w:t>2.6. KHÔNG quy ra % (thầy đã hỏi — sẽ trả lời ở Phần II)</w:t>
      </w:r>
    </w:p>
    <w:p>
      <w:pPr>
        <w:jc w:val="both"/>
      </w:pPr>
      <w:r>
        <w:rPr>
          <w:b w:val="0"/>
          <w:i w:val="0"/>
          <w:color w:val="000000"/>
          <w:sz w:val="24"/>
        </w:rPr>
        <w:t>Bàn luận chỉ dùng ĐTB trên thang 0–100, KHÔNG quy ra TỶ LỆ % học sinh có biểu hiện RLLA. Đây là hạn chế lớn vì tỷ lệ % giúp người đọc hình dung CỠ CỦA VẤN ĐỀ. Phần II dưới đây trả lời câu hỏi này.</w:t>
      </w:r>
    </w:p>
    <w:p>
      <w:r>
        <w:rPr>
          <w:b/>
          <w:color w:val="1F497D"/>
          <w:sz w:val="26"/>
        </w:rPr>
        <w:t>PHẦN II — Tại sao số liệu không quy ra %?</w:t>
      </w:r>
    </w:p>
    <w:p>
      <w:pPr>
        <w:jc w:val="both"/>
      </w:pPr>
      <w:r>
        <w:rPr>
          <w:b w:val="0"/>
          <w:i w:val="0"/>
          <w:color w:val="000000"/>
          <w:sz w:val="24"/>
        </w:rPr>
        <w:t>Câu trả lời ngắn: tác giả luận án dùng thang đo RCADS (Revised Children's Anxiety and Depression Scale; Chorpita và cộng sự, 2000) — thang đo NỐI LIÊN TỤC (continuous scale) cho mức độ triệu chứng — KHÔNG phải thang đo CHẨN ĐOÁN có/không (categorical).</w:t>
      </w:r>
    </w:p>
    <w:p>
      <w:pPr>
        <w:jc w:val="both"/>
      </w:pPr>
      <w:r>
        <w:rPr>
          <w:b w:val="0"/>
          <w:i w:val="0"/>
          <w:color w:val="000000"/>
          <w:sz w:val="24"/>
        </w:rPr>
      </w:r>
    </w:p>
    <w:p>
      <w:pPr>
        <w:jc w:val="both"/>
      </w:pPr>
      <w:r>
        <w:rPr>
          <w:b/>
          <w:i w:val="0"/>
          <w:color w:val="000000"/>
          <w:sz w:val="24"/>
        </w:rPr>
        <w:t>Khác biệt giữa hai loại thang đo:</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sz w:val="20"/>
              </w:rPr>
              <w:t>Loại thang</w:t>
            </w:r>
          </w:p>
        </w:tc>
        <w:tc>
          <w:tcPr>
            <w:tcW w:type="dxa" w:w="2422"/>
          </w:tcPr>
          <w:p>
            <w:r>
              <w:rPr>
                <w:rFonts w:ascii="Times New Roman" w:hAnsi="Times New Roman"/>
                <w:sz w:val="20"/>
              </w:rPr>
              <w:t>Đặc trưng</w:t>
            </w:r>
          </w:p>
        </w:tc>
        <w:tc>
          <w:tcPr>
            <w:tcW w:type="dxa" w:w="2422"/>
          </w:tcPr>
          <w:p>
            <w:r>
              <w:rPr>
                <w:rFonts w:ascii="Times New Roman" w:hAnsi="Times New Roman"/>
                <w:sz w:val="20"/>
              </w:rPr>
              <w:t>Cho biết</w:t>
            </w:r>
          </w:p>
        </w:tc>
        <w:tc>
          <w:tcPr>
            <w:tcW w:type="dxa" w:w="2422"/>
          </w:tcPr>
          <w:p>
            <w:r>
              <w:rPr>
                <w:rFonts w:ascii="Times New Roman" w:hAnsi="Times New Roman"/>
                <w:sz w:val="20"/>
              </w:rPr>
              <w:t>Ví dụ</w:t>
            </w:r>
          </w:p>
        </w:tc>
      </w:tr>
      <w:tr>
        <w:tc>
          <w:tcPr>
            <w:tcW w:type="dxa" w:w="2422"/>
          </w:tcPr>
          <w:p>
            <w:r>
              <w:rPr>
                <w:rFonts w:ascii="Times New Roman" w:hAnsi="Times New Roman"/>
                <w:sz w:val="20"/>
              </w:rPr>
              <w:t>Liên tục (RCADS)</w:t>
            </w:r>
          </w:p>
        </w:tc>
        <w:tc>
          <w:tcPr>
            <w:tcW w:type="dxa" w:w="2422"/>
          </w:tcPr>
          <w:p>
            <w:r>
              <w:rPr>
                <w:rFonts w:ascii="Times New Roman" w:hAnsi="Times New Roman"/>
                <w:sz w:val="20"/>
              </w:rPr>
              <w:t>Điểm số 0–100 hoặc 0–3 mỗi mục</w:t>
            </w:r>
          </w:p>
        </w:tc>
        <w:tc>
          <w:tcPr>
            <w:tcW w:type="dxa" w:w="2422"/>
          </w:tcPr>
          <w:p>
            <w:r>
              <w:rPr>
                <w:rFonts w:ascii="Times New Roman" w:hAnsi="Times New Roman"/>
                <w:sz w:val="20"/>
              </w:rPr>
              <w:t>MỨC ĐỘ triệu chứng (cao/thấp)</w:t>
            </w:r>
          </w:p>
        </w:tc>
        <w:tc>
          <w:tcPr>
            <w:tcW w:type="dxa" w:w="2422"/>
          </w:tcPr>
          <w:p>
            <w:r>
              <w:rPr>
                <w:rFonts w:ascii="Times New Roman" w:hAnsi="Times New Roman"/>
                <w:sz w:val="20"/>
              </w:rPr>
              <w:t>ĐTB = 51,43 → mức độ trung bình</w:t>
            </w:r>
          </w:p>
        </w:tc>
      </w:tr>
      <w:tr>
        <w:tc>
          <w:tcPr>
            <w:tcW w:type="dxa" w:w="2422"/>
          </w:tcPr>
          <w:p>
            <w:r>
              <w:rPr>
                <w:rFonts w:ascii="Times New Roman" w:hAnsi="Times New Roman"/>
                <w:sz w:val="20"/>
              </w:rPr>
              <w:t>Chẩn đoán (DISC, CIDI)</w:t>
            </w:r>
          </w:p>
        </w:tc>
        <w:tc>
          <w:tcPr>
            <w:tcW w:type="dxa" w:w="2422"/>
          </w:tcPr>
          <w:p>
            <w:r>
              <w:rPr>
                <w:rFonts w:ascii="Times New Roman" w:hAnsi="Times New Roman"/>
                <w:sz w:val="20"/>
              </w:rPr>
              <w:t>Có/không theo tiêu chí DSM-5</w:t>
            </w:r>
          </w:p>
        </w:tc>
        <w:tc>
          <w:tcPr>
            <w:tcW w:type="dxa" w:w="2422"/>
          </w:tcPr>
          <w:p>
            <w:r>
              <w:rPr>
                <w:rFonts w:ascii="Times New Roman" w:hAnsi="Times New Roman"/>
                <w:sz w:val="20"/>
              </w:rPr>
              <w:t>TỶ LỆ % HS có rối loạn</w:t>
            </w:r>
          </w:p>
        </w:tc>
        <w:tc>
          <w:tcPr>
            <w:tcW w:type="dxa" w:w="2422"/>
          </w:tcPr>
          <w:p>
            <w:r>
              <w:rPr>
                <w:rFonts w:ascii="Times New Roman" w:hAnsi="Times New Roman"/>
                <w:sz w:val="20"/>
              </w:rPr>
              <w:t>V-NAMHS 2022: 18,45% có RLLA</w:t>
            </w:r>
          </w:p>
        </w:tc>
      </w:tr>
    </w:tbl>
    <w:p>
      <w:pPr>
        <w:jc w:val="both"/>
      </w:pPr>
      <w:r>
        <w:rPr>
          <w:b w:val="0"/>
          <w:i w:val="0"/>
          <w:color w:val="000000"/>
          <w:sz w:val="24"/>
        </w:rPr>
      </w:r>
    </w:p>
    <w:p>
      <w:pPr>
        <w:jc w:val="both"/>
      </w:pPr>
      <w:r>
        <w:rPr>
          <w:b w:val="0"/>
          <w:i w:val="0"/>
          <w:color w:val="000000"/>
          <w:sz w:val="24"/>
        </w:rPr>
        <w:t>Lý do chương 3 luận án không quy ra %: vì RCADS là thang đo MỨC ĐỘ, KHÔNG phải thang chẩn đoán. Để chuyển sang % cần một NGƯỠNG CẮT (cutoff) cụ thể — và bài chưa nêu rõ ngưỡng nào.</w:t>
      </w:r>
    </w:p>
    <w:p>
      <w:r>
        <w:rPr>
          <w:b/>
          <w:color w:val="1F497D"/>
          <w:sz w:val="26"/>
        </w:rPr>
        <w:t>PHẦN III — Ba cách quy về % để có bức tranh thô</w:t>
      </w:r>
    </w:p>
    <w:p>
      <w:r>
        <w:rPr>
          <w:b/>
          <w:color w:val="1F497D"/>
          <w:sz w:val="24"/>
        </w:rPr>
        <w:t>Cách 1 — Sử dụng ngưỡng cắt RCADS chuẩn quốc tế</w:t>
      </w:r>
    </w:p>
    <w:p>
      <w:pPr>
        <w:jc w:val="both"/>
      </w:pPr>
      <w:r>
        <w:rPr>
          <w:b/>
          <w:i w:val="0"/>
          <w:color w:val="000000"/>
          <w:sz w:val="24"/>
        </w:rPr>
        <w:t>RCADS có ngưỡng T-score chuẩn (Chorpita 2000):</w:t>
      </w:r>
    </w:p>
    <w:p>
      <w:pPr>
        <w:jc w:val="both"/>
      </w:pPr>
      <w:r>
        <w:rPr>
          <w:b w:val="0"/>
          <w:i w:val="0"/>
          <w:color w:val="000000"/>
          <w:sz w:val="24"/>
        </w:rPr>
        <w:t>• T-score ≥ 65: BORDERLINE clinical (cảnh báo)</w:t>
      </w:r>
    </w:p>
    <w:p>
      <w:pPr>
        <w:jc w:val="both"/>
      </w:pPr>
      <w:r>
        <w:rPr>
          <w:b w:val="0"/>
          <w:i w:val="0"/>
          <w:color w:val="000000"/>
          <w:sz w:val="24"/>
        </w:rPr>
        <w:t>• T-score ≥ 70: CLINICAL (đạt ngưỡng chẩn đoán RLLA)</w:t>
      </w:r>
    </w:p>
    <w:p>
      <w:pPr>
        <w:jc w:val="both"/>
      </w:pPr>
      <w:r>
        <w:rPr>
          <w:b w:val="0"/>
          <w:i w:val="0"/>
          <w:color w:val="000000"/>
          <w:sz w:val="24"/>
        </w:rPr>
      </w:r>
    </w:p>
    <w:p>
      <w:pPr>
        <w:jc w:val="both"/>
      </w:pPr>
      <w:r>
        <w:rPr>
          <w:b w:val="0"/>
          <w:i w:val="0"/>
          <w:color w:val="000000"/>
          <w:sz w:val="24"/>
        </w:rPr>
        <w:t>Tuy nhiên, chương 3 luận án chuyển điểm sang thang 0–100. Nếu giả định 0–100 ≈ T-score (linear transform), ngưỡng có thể là 65/100 hoặc 70/100. Cần xác nhận với tác giả luận án.</w:t>
      </w:r>
    </w:p>
    <w:p>
      <w:r>
        <w:rPr>
          <w:b/>
          <w:color w:val="1F497D"/>
          <w:sz w:val="24"/>
        </w:rPr>
        <w:t>Cách 2 — Dùng z-score giả định phân phối chuẩn</w:t>
      </w:r>
    </w:p>
    <w:p>
      <w:pPr>
        <w:jc w:val="both"/>
      </w:pPr>
      <w:r>
        <w:rPr>
          <w:b w:val="0"/>
          <w:i w:val="0"/>
          <w:color w:val="000000"/>
          <w:sz w:val="24"/>
        </w:rPr>
        <w:t>Cách thực tế nhất với data hiện có. Giả định điểm RCADS phân bố CHUẨN, dùng công thức:</w:t>
      </w:r>
    </w:p>
    <w:p>
      <w:pPr>
        <w:jc w:val="both"/>
      </w:pPr>
      <w:r>
        <w:rPr>
          <w:b/>
          <w:i w:val="0"/>
          <w:color w:val="000000"/>
          <w:sz w:val="24"/>
        </w:rPr>
        <w:t>z = (Ngưỡng − ĐTB) / SD</w:t>
      </w:r>
    </w:p>
    <w:p>
      <w:pPr>
        <w:jc w:val="both"/>
      </w:pPr>
      <w:r>
        <w:rPr>
          <w:b w:val="0"/>
          <w:i w:val="0"/>
          <w:color w:val="000000"/>
          <w:sz w:val="24"/>
        </w:rPr>
        <w:t>Sau đó tra bảng phân phối chuẩn để có % HS vượt ngưỡng.</w:t>
      </w:r>
    </w:p>
    <w:p>
      <w:pPr>
        <w:jc w:val="both"/>
      </w:pPr>
      <w:r>
        <w:rPr>
          <w:b w:val="0"/>
          <w:i w:val="0"/>
          <w:color w:val="000000"/>
          <w:sz w:val="24"/>
        </w:rPr>
      </w:r>
    </w:p>
    <w:p>
      <w:pPr>
        <w:jc w:val="both"/>
      </w:pPr>
      <w:r>
        <w:rPr>
          <w:b/>
          <w:i w:val="0"/>
          <w:color w:val="000000"/>
          <w:sz w:val="24"/>
        </w:rPr>
        <w:t>Áp dụng cho mẫu n=1.352 với ngưỡng 65/100:</w:t>
      </w:r>
    </w:p>
    <w:tbl>
      <w:tblPr>
        <w:tblStyle w:val="LightGrid-Accent1"/>
        <w:tblW w:type="auto" w:w="0"/>
        <w:tblLook w:firstColumn="1" w:firstRow="1" w:lastColumn="0" w:lastRow="0" w:noHBand="0" w:noVBand="1" w:val="04A0"/>
      </w:tblPr>
      <w:tblGrid>
        <w:gridCol w:w="1938"/>
        <w:gridCol w:w="1938"/>
        <w:gridCol w:w="1938"/>
        <w:gridCol w:w="1938"/>
        <w:gridCol w:w="1938"/>
      </w:tblGrid>
      <w:tr>
        <w:tc>
          <w:tcPr>
            <w:tcW w:type="dxa" w:w="1938"/>
          </w:tcPr>
          <w:p>
            <w:r>
              <w:rPr>
                <w:rFonts w:ascii="Times New Roman" w:hAnsi="Times New Roman"/>
                <w:sz w:val="20"/>
              </w:rPr>
              <w:t>Loại RLLA</w:t>
            </w:r>
          </w:p>
        </w:tc>
        <w:tc>
          <w:tcPr>
            <w:tcW w:type="dxa" w:w="1938"/>
          </w:tcPr>
          <w:p>
            <w:r>
              <w:rPr>
                <w:rFonts w:ascii="Times New Roman" w:hAnsi="Times New Roman"/>
                <w:sz w:val="20"/>
              </w:rPr>
              <w:t>ĐTB tổng</w:t>
            </w:r>
          </w:p>
        </w:tc>
        <w:tc>
          <w:tcPr>
            <w:tcW w:type="dxa" w:w="1938"/>
          </w:tcPr>
          <w:p>
            <w:r>
              <w:rPr>
                <w:rFonts w:ascii="Times New Roman" w:hAnsi="Times New Roman"/>
                <w:sz w:val="20"/>
              </w:rPr>
              <w:t>SD</w:t>
            </w:r>
          </w:p>
        </w:tc>
        <w:tc>
          <w:tcPr>
            <w:tcW w:type="dxa" w:w="1938"/>
          </w:tcPr>
          <w:p>
            <w:r>
              <w:rPr>
                <w:rFonts w:ascii="Times New Roman" w:hAnsi="Times New Roman"/>
                <w:sz w:val="20"/>
              </w:rPr>
              <w:t>z (ngưỡng 65)</w:t>
            </w:r>
          </w:p>
        </w:tc>
        <w:tc>
          <w:tcPr>
            <w:tcW w:type="dxa" w:w="1938"/>
          </w:tcPr>
          <w:p>
            <w:r>
              <w:rPr>
                <w:rFonts w:ascii="Times New Roman" w:hAnsi="Times New Roman"/>
                <w:sz w:val="20"/>
              </w:rPr>
              <w:t>% vượt ngưỡng (giả định)</w:t>
            </w:r>
          </w:p>
        </w:tc>
      </w:tr>
      <w:tr>
        <w:tc>
          <w:tcPr>
            <w:tcW w:type="dxa" w:w="1938"/>
          </w:tcPr>
          <w:p>
            <w:r>
              <w:rPr>
                <w:rFonts w:ascii="Times New Roman" w:hAnsi="Times New Roman"/>
                <w:sz w:val="20"/>
              </w:rPr>
              <w:t>RLLATQ (tổng quát)</w:t>
            </w:r>
          </w:p>
        </w:tc>
        <w:tc>
          <w:tcPr>
            <w:tcW w:type="dxa" w:w="1938"/>
          </w:tcPr>
          <w:p>
            <w:r>
              <w:rPr>
                <w:rFonts w:ascii="Times New Roman" w:hAnsi="Times New Roman"/>
                <w:sz w:val="20"/>
              </w:rPr>
              <w:t>55.82</w:t>
            </w:r>
          </w:p>
        </w:tc>
        <w:tc>
          <w:tcPr>
            <w:tcW w:type="dxa" w:w="1938"/>
          </w:tcPr>
          <w:p>
            <w:r>
              <w:rPr>
                <w:rFonts w:ascii="Times New Roman" w:hAnsi="Times New Roman"/>
                <w:sz w:val="20"/>
              </w:rPr>
              <w:t>22.04</w:t>
            </w:r>
          </w:p>
        </w:tc>
        <w:tc>
          <w:tcPr>
            <w:tcW w:type="dxa" w:w="1938"/>
          </w:tcPr>
          <w:p>
            <w:r>
              <w:rPr>
                <w:rFonts w:ascii="Times New Roman" w:hAnsi="Times New Roman"/>
                <w:sz w:val="20"/>
              </w:rPr>
              <w:t>0.417</w:t>
            </w:r>
          </w:p>
        </w:tc>
        <w:tc>
          <w:tcPr>
            <w:tcW w:type="dxa" w:w="1938"/>
          </w:tcPr>
          <w:p>
            <w:r>
              <w:rPr>
                <w:rFonts w:ascii="Times New Roman" w:hAnsi="Times New Roman"/>
                <w:sz w:val="20"/>
              </w:rPr>
              <w:t>≈ 33.9%</w:t>
            </w:r>
          </w:p>
        </w:tc>
      </w:tr>
      <w:tr>
        <w:tc>
          <w:tcPr>
            <w:tcW w:type="dxa" w:w="1938"/>
          </w:tcPr>
          <w:p>
            <w:r>
              <w:rPr>
                <w:rFonts w:ascii="Times New Roman" w:hAnsi="Times New Roman"/>
                <w:sz w:val="20"/>
              </w:rPr>
              <w:t>RLLAXH (xã hội)</w:t>
            </w:r>
          </w:p>
        </w:tc>
        <w:tc>
          <w:tcPr>
            <w:tcW w:type="dxa" w:w="1938"/>
          </w:tcPr>
          <w:p>
            <w:r>
              <w:rPr>
                <w:rFonts w:ascii="Times New Roman" w:hAnsi="Times New Roman"/>
                <w:sz w:val="20"/>
              </w:rPr>
              <w:t>48.41</w:t>
            </w:r>
          </w:p>
        </w:tc>
        <w:tc>
          <w:tcPr>
            <w:tcW w:type="dxa" w:w="1938"/>
          </w:tcPr>
          <w:p>
            <w:r>
              <w:rPr>
                <w:rFonts w:ascii="Times New Roman" w:hAnsi="Times New Roman"/>
                <w:sz w:val="20"/>
              </w:rPr>
              <w:t>25.77</w:t>
            </w:r>
          </w:p>
        </w:tc>
        <w:tc>
          <w:tcPr>
            <w:tcW w:type="dxa" w:w="1938"/>
          </w:tcPr>
          <w:p>
            <w:r>
              <w:rPr>
                <w:rFonts w:ascii="Times New Roman" w:hAnsi="Times New Roman"/>
                <w:sz w:val="20"/>
              </w:rPr>
              <w:t>0.644</w:t>
            </w:r>
          </w:p>
        </w:tc>
        <w:tc>
          <w:tcPr>
            <w:tcW w:type="dxa" w:w="1938"/>
          </w:tcPr>
          <w:p>
            <w:r>
              <w:rPr>
                <w:rFonts w:ascii="Times New Roman" w:hAnsi="Times New Roman"/>
                <w:sz w:val="20"/>
              </w:rPr>
              <w:t>≈ 26.0%</w:t>
            </w:r>
          </w:p>
        </w:tc>
      </w:tr>
      <w:tr>
        <w:tc>
          <w:tcPr>
            <w:tcW w:type="dxa" w:w="1938"/>
          </w:tcPr>
          <w:p>
            <w:r>
              <w:rPr>
                <w:rFonts w:ascii="Times New Roman" w:hAnsi="Times New Roman"/>
                <w:sz w:val="20"/>
              </w:rPr>
              <w:t>RLLAC (chia ly)</w:t>
            </w:r>
          </w:p>
        </w:tc>
        <w:tc>
          <w:tcPr>
            <w:tcW w:type="dxa" w:w="1938"/>
          </w:tcPr>
          <w:p>
            <w:r>
              <w:rPr>
                <w:rFonts w:ascii="Times New Roman" w:hAnsi="Times New Roman"/>
                <w:sz w:val="20"/>
              </w:rPr>
              <w:t>25.06</w:t>
            </w:r>
          </w:p>
        </w:tc>
        <w:tc>
          <w:tcPr>
            <w:tcW w:type="dxa" w:w="1938"/>
          </w:tcPr>
          <w:p>
            <w:r>
              <w:rPr>
                <w:rFonts w:ascii="Times New Roman" w:hAnsi="Times New Roman"/>
                <w:sz w:val="20"/>
              </w:rPr>
              <w:t>24.30</w:t>
            </w:r>
          </w:p>
        </w:tc>
        <w:tc>
          <w:tcPr>
            <w:tcW w:type="dxa" w:w="1938"/>
          </w:tcPr>
          <w:p>
            <w:r>
              <w:rPr>
                <w:rFonts w:ascii="Times New Roman" w:hAnsi="Times New Roman"/>
                <w:sz w:val="20"/>
              </w:rPr>
              <w:t>1.644</w:t>
            </w:r>
          </w:p>
        </w:tc>
        <w:tc>
          <w:tcPr>
            <w:tcW w:type="dxa" w:w="1938"/>
          </w:tcPr>
          <w:p>
            <w:r>
              <w:rPr>
                <w:rFonts w:ascii="Times New Roman" w:hAnsi="Times New Roman"/>
                <w:sz w:val="20"/>
              </w:rPr>
              <w:t>≈ 5.0%</w:t>
            </w:r>
          </w:p>
        </w:tc>
      </w:tr>
    </w:tbl>
    <w:p>
      <w:pPr>
        <w:jc w:val="both"/>
      </w:pPr>
      <w:r>
        <w:rPr>
          <w:b w:val="0"/>
          <w:i w:val="0"/>
          <w:color w:val="000000"/>
          <w:sz w:val="24"/>
        </w:rPr>
      </w:r>
    </w:p>
    <w:p>
      <w:pPr>
        <w:jc w:val="both"/>
      </w:pPr>
      <w:r>
        <w:rPr>
          <w:b/>
          <w:i w:val="0"/>
          <w:color w:val="C00000"/>
          <w:sz w:val="24"/>
        </w:rPr>
        <w:t>CẢNH BÁO QUAN TRỌNG: cách này GIẢ ĐỊNH dữ liệu phân phối CHUẨN — nhưng dữ liệu RLLA thường LỆCH PHẢI (skewed right) vì đa số HS không có triệu chứng. Tỷ lệ % thực tế có thể KHÁC.</w:t>
      </w:r>
    </w:p>
    <w:p>
      <w:pPr>
        <w:jc w:val="both"/>
      </w:pPr>
      <w:r>
        <w:rPr>
          <w:b w:val="0"/>
          <w:i w:val="0"/>
          <w:color w:val="000000"/>
          <w:sz w:val="24"/>
        </w:rPr>
      </w:r>
    </w:p>
    <w:p>
      <w:pPr>
        <w:jc w:val="both"/>
      </w:pPr>
      <w:r>
        <w:rPr>
          <w:b/>
          <w:i w:val="0"/>
          <w:color w:val="000000"/>
          <w:sz w:val="24"/>
        </w:rPr>
        <w:t>So sánh nam vs nữ với ngưỡng 65 (giả định normal):</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sz w:val="20"/>
              </w:rPr>
              <w:t>Loại RLLA</w:t>
            </w:r>
          </w:p>
        </w:tc>
        <w:tc>
          <w:tcPr>
            <w:tcW w:type="dxa" w:w="2422"/>
          </w:tcPr>
          <w:p>
            <w:r>
              <w:rPr>
                <w:rFonts w:ascii="Times New Roman" w:hAnsi="Times New Roman"/>
                <w:sz w:val="20"/>
              </w:rPr>
              <w:t>% nam vượt 65</w:t>
            </w:r>
          </w:p>
        </w:tc>
        <w:tc>
          <w:tcPr>
            <w:tcW w:type="dxa" w:w="2422"/>
          </w:tcPr>
          <w:p>
            <w:r>
              <w:rPr>
                <w:rFonts w:ascii="Times New Roman" w:hAnsi="Times New Roman"/>
                <w:sz w:val="20"/>
              </w:rPr>
              <w:t>% nữ vượt 65</w:t>
            </w:r>
          </w:p>
        </w:tc>
        <w:tc>
          <w:tcPr>
            <w:tcW w:type="dxa" w:w="2422"/>
          </w:tcPr>
          <w:p>
            <w:r>
              <w:rPr>
                <w:rFonts w:ascii="Times New Roman" w:hAnsi="Times New Roman"/>
                <w:sz w:val="20"/>
              </w:rPr>
              <w:t>Tỷ số nữ/nam</w:t>
            </w:r>
          </w:p>
        </w:tc>
      </w:tr>
      <w:tr>
        <w:tc>
          <w:tcPr>
            <w:tcW w:type="dxa" w:w="2422"/>
          </w:tcPr>
          <w:p>
            <w:r>
              <w:rPr>
                <w:rFonts w:ascii="Times New Roman" w:hAnsi="Times New Roman"/>
                <w:sz w:val="20"/>
              </w:rPr>
              <w:t>RLLATQ (tổng quát)</w:t>
            </w:r>
          </w:p>
        </w:tc>
        <w:tc>
          <w:tcPr>
            <w:tcW w:type="dxa" w:w="2422"/>
          </w:tcPr>
          <w:p>
            <w:r>
              <w:rPr>
                <w:rFonts w:ascii="Times New Roman" w:hAnsi="Times New Roman"/>
                <w:sz w:val="20"/>
              </w:rPr>
              <w:t>≈ 26.9%</w:t>
            </w:r>
          </w:p>
        </w:tc>
        <w:tc>
          <w:tcPr>
            <w:tcW w:type="dxa" w:w="2422"/>
          </w:tcPr>
          <w:p>
            <w:r>
              <w:rPr>
                <w:rFonts w:ascii="Times New Roman" w:hAnsi="Times New Roman"/>
                <w:sz w:val="20"/>
              </w:rPr>
              <w:t>≈ 40.1%</w:t>
            </w:r>
          </w:p>
        </w:tc>
        <w:tc>
          <w:tcPr>
            <w:tcW w:type="dxa" w:w="2422"/>
          </w:tcPr>
          <w:p>
            <w:r>
              <w:rPr>
                <w:rFonts w:ascii="Times New Roman" w:hAnsi="Times New Roman"/>
                <w:sz w:val="20"/>
              </w:rPr>
              <w:t>1.49</w:t>
            </w:r>
          </w:p>
        </w:tc>
      </w:tr>
      <w:tr>
        <w:tc>
          <w:tcPr>
            <w:tcW w:type="dxa" w:w="2422"/>
          </w:tcPr>
          <w:p>
            <w:r>
              <w:rPr>
                <w:rFonts w:ascii="Times New Roman" w:hAnsi="Times New Roman"/>
                <w:sz w:val="20"/>
              </w:rPr>
              <w:t>RLLAXH (xã hội)</w:t>
            </w:r>
          </w:p>
        </w:tc>
        <w:tc>
          <w:tcPr>
            <w:tcW w:type="dxa" w:w="2422"/>
          </w:tcPr>
          <w:p>
            <w:r>
              <w:rPr>
                <w:rFonts w:ascii="Times New Roman" w:hAnsi="Times New Roman"/>
                <w:sz w:val="20"/>
              </w:rPr>
              <w:t>≈ 19.2%</w:t>
            </w:r>
          </w:p>
        </w:tc>
        <w:tc>
          <w:tcPr>
            <w:tcW w:type="dxa" w:w="2422"/>
          </w:tcPr>
          <w:p>
            <w:r>
              <w:rPr>
                <w:rFonts w:ascii="Times New Roman" w:hAnsi="Times New Roman"/>
                <w:sz w:val="20"/>
              </w:rPr>
              <w:t>≈ 32.1%</w:t>
            </w:r>
          </w:p>
        </w:tc>
        <w:tc>
          <w:tcPr>
            <w:tcW w:type="dxa" w:w="2422"/>
          </w:tcPr>
          <w:p>
            <w:r>
              <w:rPr>
                <w:rFonts w:ascii="Times New Roman" w:hAnsi="Times New Roman"/>
                <w:sz w:val="20"/>
              </w:rPr>
              <w:t>1.67</w:t>
            </w:r>
          </w:p>
        </w:tc>
      </w:tr>
    </w:tbl>
    <w:p>
      <w:r>
        <w:rPr>
          <w:b/>
          <w:color w:val="1F497D"/>
          <w:sz w:val="24"/>
        </w:rPr>
        <w:t>Cách 3 — Liên hệ tác giả xin DATA RAW</w:t>
      </w:r>
    </w:p>
    <w:p>
      <w:pPr>
        <w:jc w:val="both"/>
      </w:pPr>
      <w:r>
        <w:rPr>
          <w:b w:val="0"/>
          <w:i w:val="0"/>
          <w:color w:val="000000"/>
          <w:sz w:val="24"/>
        </w:rPr>
        <w:t>Cách CHÍNH XÁC NHẤT: liên hệ tác giả luận án (CTH) xin data raw, đếm trực tiếp HS vượt ngưỡng. Cách này KHÔNG phụ thuộc giả định normal distribution.</w:t>
      </w:r>
    </w:p>
    <w:p>
      <w:pPr>
        <w:jc w:val="both"/>
      </w:pPr>
      <w:r>
        <w:rPr>
          <w:b w:val="0"/>
          <w:i w:val="0"/>
          <w:color w:val="000000"/>
          <w:sz w:val="24"/>
        </w:rPr>
        <w:t>Đề xuất quy trình:</w:t>
      </w:r>
    </w:p>
    <w:p>
      <w:pPr>
        <w:jc w:val="both"/>
      </w:pPr>
      <w:r>
        <w:rPr>
          <w:b w:val="0"/>
          <w:i w:val="0"/>
          <w:color w:val="000000"/>
          <w:sz w:val="24"/>
        </w:rPr>
        <w:t>1. Yêu cầu tác giả cung cấp ngưỡng cắt RCADS đã sử dụng.</w:t>
      </w:r>
    </w:p>
    <w:p>
      <w:pPr>
        <w:jc w:val="both"/>
      </w:pPr>
      <w:r>
        <w:rPr>
          <w:b w:val="0"/>
          <w:i w:val="0"/>
          <w:color w:val="000000"/>
          <w:sz w:val="24"/>
        </w:rPr>
        <w:t>2. Nếu chưa có ngưỡng, đề xuất 65/100 (borderline) hoặc 70/100 (clinical).</w:t>
      </w:r>
    </w:p>
    <w:p>
      <w:pPr>
        <w:jc w:val="both"/>
      </w:pPr>
      <w:r>
        <w:rPr>
          <w:b w:val="0"/>
          <w:i w:val="0"/>
          <w:color w:val="000000"/>
          <w:sz w:val="24"/>
        </w:rPr>
        <w:t>3. Tác giả tính tỷ lệ HS vượt ngưỡng từ data raw.</w:t>
      </w:r>
    </w:p>
    <w:p>
      <w:pPr>
        <w:jc w:val="both"/>
      </w:pPr>
      <w:r>
        <w:rPr>
          <w:b w:val="0"/>
          <w:i w:val="0"/>
          <w:color w:val="000000"/>
          <w:sz w:val="24"/>
        </w:rPr>
        <w:t>4. Bổ sung kết quả vào báo cáo.</w:t>
      </w:r>
    </w:p>
    <w:p>
      <w:r>
        <w:rPr>
          <w:b/>
          <w:color w:val="1F497D"/>
          <w:sz w:val="26"/>
        </w:rPr>
        <w:t>PHẦN IV — So sánh với % của các nghiên cứu khác</w:t>
      </w:r>
    </w:p>
    <w:p>
      <w:pPr>
        <w:jc w:val="both"/>
      </w:pPr>
      <w:r>
        <w:rPr>
          <w:b/>
          <w:i w:val="0"/>
          <w:color w:val="000000"/>
          <w:sz w:val="24"/>
        </w:rPr>
        <w:t>Để thầy có "bức tranh thô" so sánh, đây là tỷ lệ % RLLA từ các nghiên cứu lớn:</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sz w:val="20"/>
              </w:rPr>
              <w:t>Nghiên cứu</w:t>
            </w:r>
          </w:p>
        </w:tc>
        <w:tc>
          <w:tcPr>
            <w:tcW w:type="dxa" w:w="2422"/>
          </w:tcPr>
          <w:p>
            <w:r>
              <w:rPr>
                <w:rFonts w:ascii="Times New Roman" w:hAnsi="Times New Roman"/>
                <w:sz w:val="20"/>
              </w:rPr>
              <w:t>Mẫu</w:t>
            </w:r>
          </w:p>
        </w:tc>
        <w:tc>
          <w:tcPr>
            <w:tcW w:type="dxa" w:w="2422"/>
          </w:tcPr>
          <w:p>
            <w:r>
              <w:rPr>
                <w:rFonts w:ascii="Times New Roman" w:hAnsi="Times New Roman"/>
                <w:sz w:val="20"/>
              </w:rPr>
              <w:t>Thang đo</w:t>
            </w:r>
          </w:p>
        </w:tc>
        <w:tc>
          <w:tcPr>
            <w:tcW w:type="dxa" w:w="2422"/>
          </w:tcPr>
          <w:p>
            <w:r>
              <w:rPr>
                <w:rFonts w:ascii="Times New Roman" w:hAnsi="Times New Roman"/>
                <w:sz w:val="20"/>
              </w:rPr>
              <w:t>Tỷ lệ % RLLA</w:t>
            </w:r>
          </w:p>
        </w:tc>
      </w:tr>
      <w:tr>
        <w:tc>
          <w:tcPr>
            <w:tcW w:type="dxa" w:w="2422"/>
          </w:tcPr>
          <w:p>
            <w:r>
              <w:rPr>
                <w:rFonts w:ascii="Times New Roman" w:hAnsi="Times New Roman"/>
                <w:sz w:val="20"/>
              </w:rPr>
              <w:t>V-NAMHS (2022) [VN002]</w:t>
            </w:r>
          </w:p>
        </w:tc>
        <w:tc>
          <w:tcPr>
            <w:tcW w:type="dxa" w:w="2422"/>
          </w:tcPr>
          <w:p>
            <w:r>
              <w:rPr>
                <w:rFonts w:ascii="Times New Roman" w:hAnsi="Times New Roman"/>
                <w:sz w:val="20"/>
              </w:rPr>
              <w:t>5.996 HS 10–17 VN</w:t>
            </w:r>
          </w:p>
        </w:tc>
        <w:tc>
          <w:tcPr>
            <w:tcW w:type="dxa" w:w="2422"/>
          </w:tcPr>
          <w:p>
            <w:r>
              <w:rPr>
                <w:rFonts w:ascii="Times New Roman" w:hAnsi="Times New Roman"/>
                <w:sz w:val="20"/>
              </w:rPr>
              <w:t>DISC-5 (chẩn đoán DSM-5)</w:t>
            </w:r>
          </w:p>
        </w:tc>
        <w:tc>
          <w:tcPr>
            <w:tcW w:type="dxa" w:w="2422"/>
          </w:tcPr>
          <w:p>
            <w:r>
              <w:rPr>
                <w:rFonts w:ascii="Times New Roman" w:hAnsi="Times New Roman"/>
                <w:sz w:val="20"/>
              </w:rPr>
              <w:t>18,45% (chính thức)</w:t>
            </w:r>
          </w:p>
        </w:tc>
      </w:tr>
      <w:tr>
        <w:tc>
          <w:tcPr>
            <w:tcW w:type="dxa" w:w="2422"/>
          </w:tcPr>
          <w:p>
            <w:r>
              <w:rPr>
                <w:rFonts w:ascii="Times New Roman" w:hAnsi="Times New Roman"/>
                <w:sz w:val="20"/>
              </w:rPr>
              <w:t>Hoàng Trung Học (2025) [VN014]</w:t>
            </w:r>
          </w:p>
        </w:tc>
        <w:tc>
          <w:tcPr>
            <w:tcW w:type="dxa" w:w="2422"/>
          </w:tcPr>
          <w:p>
            <w:r>
              <w:rPr>
                <w:rFonts w:ascii="Times New Roman" w:hAnsi="Times New Roman"/>
                <w:sz w:val="20"/>
              </w:rPr>
              <w:t>8.473 HS THCS-THPT VN</w:t>
            </w:r>
          </w:p>
        </w:tc>
        <w:tc>
          <w:tcPr>
            <w:tcW w:type="dxa" w:w="2422"/>
          </w:tcPr>
          <w:p>
            <w:r>
              <w:rPr>
                <w:rFonts w:ascii="Times New Roman" w:hAnsi="Times New Roman"/>
                <w:sz w:val="20"/>
              </w:rPr>
              <w:t>DASS-21 (sàng lọc)</w:t>
            </w:r>
          </w:p>
        </w:tc>
        <w:tc>
          <w:tcPr>
            <w:tcW w:type="dxa" w:w="2422"/>
          </w:tcPr>
          <w:p>
            <w:r>
              <w:rPr>
                <w:rFonts w:ascii="Times New Roman" w:hAnsi="Times New Roman"/>
                <w:sz w:val="20"/>
              </w:rPr>
              <w:t>Trong COVID 41,5%; sau COVID 25,4%</w:t>
            </w:r>
          </w:p>
        </w:tc>
      </w:tr>
      <w:tr>
        <w:tc>
          <w:tcPr>
            <w:tcW w:type="dxa" w:w="2422"/>
          </w:tcPr>
          <w:p>
            <w:r>
              <w:rPr>
                <w:rFonts w:ascii="Times New Roman" w:hAnsi="Times New Roman"/>
                <w:sz w:val="20"/>
              </w:rPr>
              <w:t>Chen 2023 [QT007]</w:t>
            </w:r>
          </w:p>
        </w:tc>
        <w:tc>
          <w:tcPr>
            <w:tcW w:type="dxa" w:w="2422"/>
          </w:tcPr>
          <w:p>
            <w:r>
              <w:rPr>
                <w:rFonts w:ascii="Times New Roman" w:hAnsi="Times New Roman"/>
                <w:sz w:val="20"/>
              </w:rPr>
              <w:t>63.205 HS TQ</w:t>
            </w:r>
          </w:p>
        </w:tc>
        <w:tc>
          <w:tcPr>
            <w:tcW w:type="dxa" w:w="2422"/>
          </w:tcPr>
          <w:p>
            <w:r>
              <w:rPr>
                <w:rFonts w:ascii="Times New Roman" w:hAnsi="Times New Roman"/>
                <w:sz w:val="20"/>
              </w:rPr>
              <w:t>GAD-7 ≥ 10</w:t>
            </w:r>
          </w:p>
        </w:tc>
        <w:tc>
          <w:tcPr>
            <w:tcW w:type="dxa" w:w="2422"/>
          </w:tcPr>
          <w:p>
            <w:r>
              <w:rPr>
                <w:rFonts w:ascii="Times New Roman" w:hAnsi="Times New Roman"/>
                <w:sz w:val="20"/>
              </w:rPr>
              <w:t>Lo âu 13,9%</w:t>
            </w:r>
          </w:p>
        </w:tc>
      </w:tr>
      <w:tr>
        <w:tc>
          <w:tcPr>
            <w:tcW w:type="dxa" w:w="2422"/>
          </w:tcPr>
          <w:p>
            <w:r>
              <w:rPr>
                <w:rFonts w:ascii="Times New Roman" w:hAnsi="Times New Roman"/>
                <w:sz w:val="20"/>
              </w:rPr>
              <w:t>Wen 2020 [QT008]</w:t>
            </w:r>
          </w:p>
        </w:tc>
        <w:tc>
          <w:tcPr>
            <w:tcW w:type="dxa" w:w="2422"/>
          </w:tcPr>
          <w:p>
            <w:r>
              <w:rPr>
                <w:rFonts w:ascii="Times New Roman" w:hAnsi="Times New Roman"/>
                <w:sz w:val="20"/>
              </w:rPr>
              <w:t>900 HS THCS rural TQ</w:t>
            </w:r>
          </w:p>
        </w:tc>
        <w:tc>
          <w:tcPr>
            <w:tcW w:type="dxa" w:w="2422"/>
          </w:tcPr>
          <w:p>
            <w:r>
              <w:rPr>
                <w:rFonts w:ascii="Times New Roman" w:hAnsi="Times New Roman"/>
                <w:sz w:val="20"/>
              </w:rPr>
              <w:t>MHT</w:t>
            </w:r>
          </w:p>
        </w:tc>
        <w:tc>
          <w:tcPr>
            <w:tcW w:type="dxa" w:w="2422"/>
          </w:tcPr>
          <w:p>
            <w:r>
              <w:rPr>
                <w:rFonts w:ascii="Times New Roman" w:hAnsi="Times New Roman"/>
                <w:sz w:val="20"/>
              </w:rPr>
              <w:t>Lo âu nặng 24,8%</w:t>
            </w:r>
          </w:p>
        </w:tc>
      </w:tr>
      <w:tr>
        <w:tc>
          <w:tcPr>
            <w:tcW w:type="dxa" w:w="2422"/>
          </w:tcPr>
          <w:p>
            <w:r>
              <w:rPr>
                <w:rFonts w:ascii="Times New Roman" w:hAnsi="Times New Roman"/>
                <w:sz w:val="20"/>
              </w:rPr>
              <w:t>Qiu 2022 [QT009]</w:t>
            </w:r>
          </w:p>
        </w:tc>
        <w:tc>
          <w:tcPr>
            <w:tcW w:type="dxa" w:w="2422"/>
          </w:tcPr>
          <w:p>
            <w:r>
              <w:rPr>
                <w:rFonts w:ascii="Times New Roman" w:hAnsi="Times New Roman"/>
                <w:sz w:val="20"/>
              </w:rPr>
              <w:t>2.079 HS THCS TQ</w:t>
            </w:r>
          </w:p>
        </w:tc>
        <w:tc>
          <w:tcPr>
            <w:tcW w:type="dxa" w:w="2422"/>
          </w:tcPr>
          <w:p>
            <w:r>
              <w:rPr>
                <w:rFonts w:ascii="Times New Roman" w:hAnsi="Times New Roman"/>
                <w:sz w:val="20"/>
              </w:rPr>
              <w:t>SAS</w:t>
            </w:r>
          </w:p>
        </w:tc>
        <w:tc>
          <w:tcPr>
            <w:tcW w:type="dxa" w:w="2422"/>
          </w:tcPr>
          <w:p>
            <w:r>
              <w:rPr>
                <w:rFonts w:ascii="Times New Roman" w:hAnsi="Times New Roman"/>
                <w:sz w:val="20"/>
              </w:rPr>
              <w:t>Nữ 17,5% &gt; nam 11,1%</w:t>
            </w:r>
          </w:p>
        </w:tc>
      </w:tr>
      <w:tr>
        <w:tc>
          <w:tcPr>
            <w:tcW w:type="dxa" w:w="2422"/>
          </w:tcPr>
          <w:p>
            <w:r>
              <w:rPr>
                <w:rFonts w:ascii="Times New Roman" w:hAnsi="Times New Roman"/>
                <w:sz w:val="20"/>
              </w:rPr>
              <w:t>Ước lượng chương 3 (z-score)</w:t>
            </w:r>
          </w:p>
        </w:tc>
        <w:tc>
          <w:tcPr>
            <w:tcW w:type="dxa" w:w="2422"/>
          </w:tcPr>
          <w:p>
            <w:r>
              <w:rPr>
                <w:rFonts w:ascii="Times New Roman" w:hAnsi="Times New Roman"/>
                <w:sz w:val="20"/>
              </w:rPr>
              <w:t>1.352 HS THCS VN</w:t>
            </w:r>
          </w:p>
        </w:tc>
        <w:tc>
          <w:tcPr>
            <w:tcW w:type="dxa" w:w="2422"/>
          </w:tcPr>
          <w:p>
            <w:r>
              <w:rPr>
                <w:rFonts w:ascii="Times New Roman" w:hAnsi="Times New Roman"/>
                <w:sz w:val="20"/>
              </w:rPr>
              <w:t>RCADS quy đổi (ngưỡng 65)</w:t>
            </w:r>
          </w:p>
        </w:tc>
        <w:tc>
          <w:tcPr>
            <w:tcW w:type="dxa" w:w="2422"/>
          </w:tcPr>
          <w:p>
            <w:r>
              <w:rPr>
                <w:rFonts w:ascii="Times New Roman" w:hAnsi="Times New Roman"/>
                <w:sz w:val="20"/>
              </w:rPr>
              <w:t>TQ ≈ 34%; XH ≈ 26%</w:t>
            </w:r>
          </w:p>
        </w:tc>
      </w:tr>
    </w:tbl>
    <w:p>
      <w:pPr>
        <w:jc w:val="both"/>
      </w:pPr>
      <w:r>
        <w:rPr>
          <w:b w:val="0"/>
          <w:i w:val="0"/>
          <w:color w:val="000000"/>
          <w:sz w:val="24"/>
        </w:rPr>
      </w:r>
    </w:p>
    <w:p>
      <w:pPr>
        <w:jc w:val="both"/>
      </w:pPr>
      <w:r>
        <w:rPr>
          <w:b w:val="0"/>
          <w:i w:val="0"/>
          <w:color w:val="000000"/>
          <w:sz w:val="24"/>
        </w:rPr>
        <w:t>Lưu ý: các tỷ lệ % này KHÓ SO SÁNH TRỰC TIẾP do dùng thang đo khác nhau và ngưỡng cắt khác nhau. Việt Nam có dải rất rộng từ 18,45% (chẩn đoán nghiêm) đến 41,5% (sàng lọc trong COVID).</w:t>
      </w:r>
    </w:p>
    <w:p>
      <w:r>
        <w:rPr>
          <w:b/>
          <w:color w:val="1F497D"/>
          <w:sz w:val="26"/>
        </w:rPr>
        <w:t>PHẦN V — Đề xuất tổng hợp cho báo cáo CTH</w:t>
      </w:r>
    </w:p>
    <w:p>
      <w:pPr>
        <w:jc w:val="both"/>
      </w:pPr>
      <w:r>
        <w:rPr>
          <w:b/>
          <w:i w:val="0"/>
          <w:color w:val="0070C0"/>
          <w:sz w:val="24"/>
        </w:rPr>
        <w:t>Tóm gọn 3 việc cần làm:</w:t>
      </w:r>
    </w:p>
    <w:p>
      <w:pPr>
        <w:jc w:val="both"/>
      </w:pPr>
      <w:r>
        <w:rPr>
          <w:b w:val="0"/>
          <w:i w:val="0"/>
          <w:color w:val="0070C0"/>
          <w:sz w:val="24"/>
        </w:rPr>
        <w:t>(1) SỬA phần Bàn luận của trợ lý C.H với 6 cải thiện đã liệt kê: sửa năm Nguyễn Thị Vân 2020 (không phải 2018); nêu phát hiện đặc biệt BNHĐ → RLLACL; cảnh báo fit indices KÉM của BPĐP; nêu rõ pattern ba tầng chênh lệch giới; bổ sung bảng so sánh cường độ; quy ra %.</w:t>
      </w:r>
    </w:p>
    <w:p>
      <w:pPr>
        <w:jc w:val="both"/>
      </w:pPr>
      <w:r>
        <w:rPr>
          <w:b w:val="0"/>
          <w:i w:val="0"/>
          <w:color w:val="0070C0"/>
          <w:sz w:val="24"/>
        </w:rPr>
        <w:t>(2) QUY RA % bằng một trong 3 cách: (a) ngưỡng RCADS chuẩn quốc tế; (b) z-score giả định normal distribution (như em đã tính ở Cách 2); (c) liên hệ tác giả xin data raw để đếm chính xác.</w:t>
      </w:r>
    </w:p>
    <w:p>
      <w:pPr>
        <w:jc w:val="both"/>
      </w:pPr>
      <w:r>
        <w:rPr>
          <w:b w:val="0"/>
          <w:i w:val="0"/>
          <w:color w:val="0070C0"/>
          <w:sz w:val="24"/>
        </w:rPr>
        <w:t>(3) BỨC TRANH THÔ ƯỚC LƯỢNG (theo Cách 2, ngưỡng 65/100, giả định normal): khoảng 33.9% HS có lo âu tổng quát mức borderline (nam 26.9%, nữ 40.1%); khoảng 26.0% có lo âu xã hội mức borderline (nam 19.2%, nữ 32.1%); CHỈ 5.0% có lo âu chia ly mức borderline (RẤT THẤP — phù hợp đặc thù rối loạn khởi phát sớm). Tỷ lệ RLLAXH (26.0%) GẦN VỚI V-NAMHS 18,45% chẩn đoán; tỷ lệ RLLATQ (33.9%) GẦN VỚI Hoàng Trung Học 25,4% sàng lọc sau COVID.</w:t>
      </w:r>
    </w:p>
    <w:p>
      <w:r>
        <w:rPr>
          <w:b/>
          <w:color w:val="C00000"/>
          <w:sz w:val="26"/>
        </w:rPr>
        <w:t>CẢNH BÁO CUỐI</w:t>
      </w:r>
    </w:p>
    <w:p>
      <w:pPr>
        <w:jc w:val="both"/>
      </w:pPr>
      <w:r>
        <w:rPr>
          <w:b/>
          <w:i w:val="0"/>
          <w:color w:val="C00000"/>
          <w:sz w:val="24"/>
        </w:rPr>
        <w:t>Tỷ lệ % được tính ở Cách 2 là ƯỚC LƯỢNG GẦN ĐÚNG dựa trên giả định normal distribution. Trong y văn, dữ liệu điểm RCADS thường LỆCH PHẢI (đa số HS không có triệu chứng). Tỷ lệ % thực tế có thể THẤP HƠN ước lượng. Trước khi đưa số % vào báo cáo CTH, NÊN: (a) tham vấn tác giả luận án để xin data raw; (b) hoặc nêu rõ "ước lượng giả định normal" trong chú thích.</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