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DIỄN GIẢI YẾU TỐ HỖ TRỢ TỪ BẠN BÈ (HTBB)</w:t>
        <w:br/>
        <w:t>— Phát hiện ĐẶC BIỆT: GẦN NHƯ KHÔNG có tác động —</w:t>
        <w:br/>
        <w:t>Bảng 3.22 (mục H), 3.35, 3.36 chương 3 luận án</w:t>
      </w:r>
    </w:p>
    <w:p>
      <w:pPr>
        <w:ind w:firstLine="567"/>
        <w:jc w:val="both"/>
      </w:pPr>
      <w:r>
        <w:rPr>
          <w:b w:val="0"/>
          <w:i w:val="0"/>
          <w:color w:val="000000"/>
          <w:sz w:val="26"/>
        </w:rPr>
      </w:r>
    </w:p>
    <w:p>
      <w:r>
        <w:rPr>
          <w:b/>
          <w:color w:val="1F497D"/>
          <w:sz w:val="26"/>
        </w:rPr>
        <w:t>1. Khung khái niệm</w:t>
      </w:r>
    </w:p>
    <w:p>
      <w:pPr>
        <w:jc w:val="both"/>
      </w:pPr>
      <w:r>
        <w:rPr>
          <w:b w:val="0"/>
          <w:i w:val="0"/>
          <w:color w:val="000000"/>
          <w:sz w:val="26"/>
        </w:rPr>
        <w:t>HỖ TRỢ TỪ BẠN BÈ đo bằng tiểu thang Friends thuộc MSPSS (Zimet và cộng sự, 1988). Theo y văn quốc tế, hỗ trợ bạn bè được kỳ vọng là yếu tố BẢO VỆ MẠNH cho sức khỏe tâm thần thanh thiếu niên.</w:t>
      </w:r>
    </w:p>
    <w:p>
      <w:r>
        <w:rPr>
          <w:b/>
          <w:color w:val="1F497D"/>
          <w:sz w:val="26"/>
        </w:rPr>
        <w:t>2. Diễn giải Bảng 3.36 — Hệ số tác động HTBB → RLLA</w:t>
      </w:r>
    </w:p>
    <w:p>
      <w:pPr>
        <w:jc w:val="center"/>
      </w:pPr>
      <w:r>
        <w:rPr>
          <w:b/>
          <w:sz w:val="24"/>
        </w:rPr>
        <w:t>Bảng 1. Hệ số tác động HTBB → RLLA (Bảng 3.36)</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r>
              <w:rPr>
                <w:rFonts w:ascii="Times New Roman" w:hAnsi="Times New Roman"/>
                <w:sz w:val="20"/>
              </w:rPr>
              <w:t>Path</w:t>
            </w:r>
          </w:p>
        </w:tc>
        <w:tc>
          <w:tcPr>
            <w:tcW w:type="dxa" w:w="1567"/>
          </w:tcPr>
          <w:p>
            <w:r>
              <w:rPr>
                <w:rFonts w:ascii="Times New Roman" w:hAnsi="Times New Roman"/>
                <w:sz w:val="20"/>
              </w:rPr>
              <w:t>β</w:t>
            </w:r>
          </w:p>
        </w:tc>
        <w:tc>
          <w:tcPr>
            <w:tcW w:type="dxa" w:w="1567"/>
          </w:tcPr>
          <w:p>
            <w:r>
              <w:rPr>
                <w:rFonts w:ascii="Times New Roman" w:hAnsi="Times New Roman"/>
                <w:sz w:val="20"/>
              </w:rPr>
              <w:t>S.E.</w:t>
            </w:r>
          </w:p>
        </w:tc>
        <w:tc>
          <w:tcPr>
            <w:tcW w:type="dxa" w:w="1567"/>
          </w:tcPr>
          <w:p>
            <w:r>
              <w:rPr>
                <w:rFonts w:ascii="Times New Roman" w:hAnsi="Times New Roman"/>
                <w:sz w:val="20"/>
              </w:rPr>
              <w:t>C.R.</w:t>
            </w:r>
          </w:p>
        </w:tc>
        <w:tc>
          <w:tcPr>
            <w:tcW w:type="dxa" w:w="1567"/>
          </w:tcPr>
          <w:p>
            <w:r>
              <w:rPr>
                <w:rFonts w:ascii="Times New Roman" w:hAnsi="Times New Roman"/>
                <w:sz w:val="20"/>
              </w:rPr>
              <w:t>p</w:t>
            </w:r>
          </w:p>
        </w:tc>
        <w:tc>
          <w:tcPr>
            <w:tcW w:type="dxa" w:w="1567"/>
          </w:tcPr>
          <w:p>
            <w:r>
              <w:rPr>
                <w:rFonts w:ascii="Times New Roman" w:hAnsi="Times New Roman"/>
                <w:sz w:val="20"/>
              </w:rPr>
              <w:t>R²</w:t>
            </w:r>
          </w:p>
        </w:tc>
      </w:tr>
      <w:tr>
        <w:tc>
          <w:tcPr>
            <w:tcW w:type="dxa" w:w="1567"/>
          </w:tcPr>
          <w:p>
            <w:r>
              <w:rPr>
                <w:rFonts w:ascii="Times New Roman" w:hAnsi="Times New Roman"/>
                <w:sz w:val="20"/>
              </w:rPr>
              <w:t>HTBB → RLLATQ</w:t>
            </w:r>
          </w:p>
        </w:tc>
        <w:tc>
          <w:tcPr>
            <w:tcW w:type="dxa" w:w="1567"/>
          </w:tcPr>
          <w:p>
            <w:r>
              <w:rPr>
                <w:rFonts w:ascii="Times New Roman" w:hAnsi="Times New Roman"/>
                <w:sz w:val="20"/>
              </w:rPr>
              <w:t>−0,015</w:t>
            </w:r>
          </w:p>
        </w:tc>
        <w:tc>
          <w:tcPr>
            <w:tcW w:type="dxa" w:w="1567"/>
          </w:tcPr>
          <w:p>
            <w:r>
              <w:rPr>
                <w:rFonts w:ascii="Times New Roman" w:hAnsi="Times New Roman"/>
                <w:sz w:val="20"/>
              </w:rPr>
              <w:t>0,021</w:t>
            </w:r>
          </w:p>
        </w:tc>
        <w:tc>
          <w:tcPr>
            <w:tcW w:type="dxa" w:w="1567"/>
          </w:tcPr>
          <w:p>
            <w:r>
              <w:rPr>
                <w:rFonts w:ascii="Times New Roman" w:hAnsi="Times New Roman"/>
                <w:sz w:val="20"/>
              </w:rPr>
              <w:t>−0,459</w:t>
            </w:r>
          </w:p>
        </w:tc>
        <w:tc>
          <w:tcPr>
            <w:tcW w:type="dxa" w:w="1567"/>
          </w:tcPr>
          <w:p>
            <w:r>
              <w:rPr>
                <w:rFonts w:ascii="Times New Roman" w:hAnsi="Times New Roman"/>
                <w:sz w:val="20"/>
              </w:rPr>
              <w:t>0,646</w:t>
            </w:r>
          </w:p>
        </w:tc>
        <w:tc>
          <w:tcPr>
            <w:tcW w:type="dxa" w:w="1567"/>
          </w:tcPr>
          <w:p>
            <w:r>
              <w:rPr>
                <w:rFonts w:ascii="Times New Roman" w:hAnsi="Times New Roman"/>
                <w:sz w:val="20"/>
              </w:rPr>
              <w:t>— (NS)</w:t>
            </w:r>
          </w:p>
        </w:tc>
      </w:tr>
      <w:tr>
        <w:tc>
          <w:tcPr>
            <w:tcW w:type="dxa" w:w="1567"/>
          </w:tcPr>
          <w:p>
            <w:r>
              <w:rPr>
                <w:rFonts w:ascii="Times New Roman" w:hAnsi="Times New Roman"/>
                <w:sz w:val="20"/>
              </w:rPr>
              <w:t>HTBB → RLLACL</w:t>
            </w:r>
          </w:p>
        </w:tc>
        <w:tc>
          <w:tcPr>
            <w:tcW w:type="dxa" w:w="1567"/>
          </w:tcPr>
          <w:p>
            <w:r>
              <w:rPr>
                <w:rFonts w:ascii="Times New Roman" w:hAnsi="Times New Roman"/>
                <w:sz w:val="20"/>
              </w:rPr>
              <w:t>−0,019</w:t>
            </w:r>
          </w:p>
        </w:tc>
        <w:tc>
          <w:tcPr>
            <w:tcW w:type="dxa" w:w="1567"/>
          </w:tcPr>
          <w:p>
            <w:r>
              <w:rPr>
                <w:rFonts w:ascii="Times New Roman" w:hAnsi="Times New Roman"/>
                <w:sz w:val="20"/>
              </w:rPr>
              <w:t>0,023</w:t>
            </w:r>
          </w:p>
        </w:tc>
        <w:tc>
          <w:tcPr>
            <w:tcW w:type="dxa" w:w="1567"/>
          </w:tcPr>
          <w:p>
            <w:r>
              <w:rPr>
                <w:rFonts w:ascii="Times New Roman" w:hAnsi="Times New Roman"/>
                <w:sz w:val="20"/>
              </w:rPr>
              <w:t>0,558</w:t>
            </w:r>
          </w:p>
        </w:tc>
        <w:tc>
          <w:tcPr>
            <w:tcW w:type="dxa" w:w="1567"/>
          </w:tcPr>
          <w:p>
            <w:r>
              <w:rPr>
                <w:rFonts w:ascii="Times New Roman" w:hAnsi="Times New Roman"/>
                <w:sz w:val="20"/>
              </w:rPr>
              <w:t>0,577</w:t>
            </w:r>
          </w:p>
        </w:tc>
        <w:tc>
          <w:tcPr>
            <w:tcW w:type="dxa" w:w="1567"/>
          </w:tcPr>
          <w:p>
            <w:r>
              <w:rPr>
                <w:rFonts w:ascii="Times New Roman" w:hAnsi="Times New Roman"/>
                <w:sz w:val="20"/>
              </w:rPr>
              <w:t>— (NS)</w:t>
            </w:r>
          </w:p>
        </w:tc>
      </w:tr>
      <w:tr>
        <w:tc>
          <w:tcPr>
            <w:tcW w:type="dxa" w:w="1567"/>
          </w:tcPr>
          <w:p>
            <w:r>
              <w:rPr>
                <w:rFonts w:ascii="Times New Roman" w:hAnsi="Times New Roman"/>
                <w:sz w:val="20"/>
              </w:rPr>
              <w:t>HTBB → RLLAXH</w:t>
            </w:r>
          </w:p>
        </w:tc>
        <w:tc>
          <w:tcPr>
            <w:tcW w:type="dxa" w:w="1567"/>
          </w:tcPr>
          <w:p>
            <w:r>
              <w:rPr>
                <w:rFonts w:ascii="Times New Roman" w:hAnsi="Times New Roman"/>
                <w:sz w:val="20"/>
              </w:rPr>
              <w:t>−0,079</w:t>
            </w:r>
          </w:p>
        </w:tc>
        <w:tc>
          <w:tcPr>
            <w:tcW w:type="dxa" w:w="1567"/>
          </w:tcPr>
          <w:p>
            <w:r>
              <w:rPr>
                <w:rFonts w:ascii="Times New Roman" w:hAnsi="Times New Roman"/>
                <w:sz w:val="20"/>
              </w:rPr>
              <w:t>0,023</w:t>
            </w:r>
          </w:p>
        </w:tc>
        <w:tc>
          <w:tcPr>
            <w:tcW w:type="dxa" w:w="1567"/>
          </w:tcPr>
          <w:p>
            <w:r>
              <w:rPr>
                <w:rFonts w:ascii="Times New Roman" w:hAnsi="Times New Roman"/>
                <w:sz w:val="20"/>
              </w:rPr>
              <w:t>−2,318</w:t>
            </w:r>
          </w:p>
        </w:tc>
        <w:tc>
          <w:tcPr>
            <w:tcW w:type="dxa" w:w="1567"/>
          </w:tcPr>
          <w:p>
            <w:r>
              <w:rPr>
                <w:rFonts w:ascii="Times New Roman" w:hAnsi="Times New Roman"/>
                <w:sz w:val="20"/>
              </w:rPr>
              <w:t>0,020</w:t>
            </w:r>
          </w:p>
        </w:tc>
        <w:tc>
          <w:tcPr>
            <w:tcW w:type="dxa" w:w="1567"/>
          </w:tcPr>
          <w:p>
            <w:r>
              <w:rPr>
                <w:rFonts w:ascii="Times New Roman" w:hAnsi="Times New Roman"/>
                <w:sz w:val="20"/>
              </w:rPr>
              <w:t>—</w:t>
            </w:r>
          </w:p>
        </w:tc>
      </w:tr>
      <w:tr>
        <w:tc>
          <w:tcPr>
            <w:tcW w:type="dxa" w:w="1567"/>
          </w:tcPr>
          <w:p>
            <w:r>
              <w:rPr>
                <w:rFonts w:ascii="Times New Roman" w:hAnsi="Times New Roman"/>
                <w:sz w:val="20"/>
              </w:rPr>
              <w:t>HTBB → RLLA</w:t>
            </w:r>
          </w:p>
        </w:tc>
        <w:tc>
          <w:tcPr>
            <w:tcW w:type="dxa" w:w="1567"/>
          </w:tcPr>
          <w:p>
            <w:r>
              <w:rPr>
                <w:rFonts w:ascii="Times New Roman" w:hAnsi="Times New Roman"/>
                <w:sz w:val="20"/>
              </w:rPr>
              <w:t>−0,044</w:t>
            </w:r>
          </w:p>
        </w:tc>
        <w:tc>
          <w:tcPr>
            <w:tcW w:type="dxa" w:w="1567"/>
          </w:tcPr>
          <w:p>
            <w:r>
              <w:rPr>
                <w:rFonts w:ascii="Times New Roman" w:hAnsi="Times New Roman"/>
                <w:sz w:val="20"/>
              </w:rPr>
              <w:t>0,133</w:t>
            </w:r>
          </w:p>
        </w:tc>
        <w:tc>
          <w:tcPr>
            <w:tcW w:type="dxa" w:w="1567"/>
          </w:tcPr>
          <w:p>
            <w:r>
              <w:rPr>
                <w:rFonts w:ascii="Times New Roman" w:hAnsi="Times New Roman"/>
                <w:sz w:val="20"/>
              </w:rPr>
              <w:t>−1,331</w:t>
            </w:r>
          </w:p>
        </w:tc>
        <w:tc>
          <w:tcPr>
            <w:tcW w:type="dxa" w:w="1567"/>
          </w:tcPr>
          <w:p>
            <w:r>
              <w:rPr>
                <w:rFonts w:ascii="Times New Roman" w:hAnsi="Times New Roman"/>
                <w:sz w:val="20"/>
              </w:rPr>
              <w:t>0,183</w:t>
            </w:r>
          </w:p>
        </w:tc>
        <w:tc>
          <w:tcPr>
            <w:tcW w:type="dxa" w:w="1567"/>
          </w:tcPr>
          <w:p>
            <w:r>
              <w:rPr>
                <w:rFonts w:ascii="Times New Roman" w:hAnsi="Times New Roman"/>
                <w:sz w:val="20"/>
              </w:rPr>
              <w:t>0,002 (NS)</w:t>
            </w:r>
          </w:p>
        </w:tc>
      </w:tr>
      <w:tr>
        <w:tc>
          <w:tcPr>
            <w:tcW w:type="dxa" w:w="1567"/>
          </w:tcPr>
          <w:p>
            <w:r>
              <w:rPr>
                <w:rFonts w:ascii="Times New Roman" w:hAnsi="Times New Roman"/>
                <w:sz w:val="20"/>
              </w:rPr>
              <w:t>HTBB → RLLA (2 factor) [LỖI]</w:t>
            </w:r>
          </w:p>
        </w:tc>
        <w:tc>
          <w:tcPr>
            <w:tcW w:type="dxa" w:w="1567"/>
          </w:tcPr>
          <w:p>
            <w:r>
              <w:rPr>
                <w:rFonts w:ascii="Times New Roman" w:hAnsi="Times New Roman"/>
                <w:sz w:val="20"/>
              </w:rPr>
              <w:t>−0,039</w:t>
            </w:r>
          </w:p>
        </w:tc>
        <w:tc>
          <w:tcPr>
            <w:tcW w:type="dxa" w:w="1567"/>
          </w:tcPr>
          <w:p>
            <w:r>
              <w:rPr>
                <w:rFonts w:ascii="Times New Roman" w:hAnsi="Times New Roman"/>
                <w:sz w:val="20"/>
              </w:rPr>
              <w:t>0,144</w:t>
            </w:r>
          </w:p>
        </w:tc>
        <w:tc>
          <w:tcPr>
            <w:tcW w:type="dxa" w:w="1567"/>
          </w:tcPr>
          <w:p>
            <w:r>
              <w:rPr>
                <w:rFonts w:ascii="Times New Roman" w:hAnsi="Times New Roman"/>
                <w:sz w:val="20"/>
              </w:rPr>
              <w:t>−0,438</w:t>
            </w:r>
          </w:p>
        </w:tc>
        <w:tc>
          <w:tcPr>
            <w:tcW w:type="dxa" w:w="1567"/>
          </w:tcPr>
          <w:p>
            <w:r>
              <w:rPr>
                <w:rFonts w:ascii="Times New Roman" w:hAnsi="Times New Roman"/>
                <w:sz w:val="20"/>
              </w:rPr>
              <w:t>0,661</w:t>
            </w:r>
          </w:p>
        </w:tc>
        <w:tc>
          <w:tcPr>
            <w:tcW w:type="dxa" w:w="1567"/>
          </w:tcPr>
          <w:p>
            <w:r>
              <w:rPr>
                <w:rFonts w:ascii="Times New Roman" w:hAnsi="Times New Roman"/>
                <w:sz w:val="20"/>
              </w:rPr>
              <w:t>0,002</w:t>
            </w:r>
          </w:p>
        </w:tc>
      </w:tr>
    </w:tbl>
    <w:p>
      <w:pPr>
        <w:ind w:firstLine="567"/>
        <w:jc w:val="both"/>
      </w:pPr>
      <w:r>
        <w:rPr>
          <w:b w:val="0"/>
          <w:i w:val="0"/>
          <w:color w:val="000000"/>
          <w:sz w:val="26"/>
        </w:rPr>
      </w:r>
    </w:p>
    <w:p>
      <w:r>
        <w:rPr>
          <w:b/>
          <w:color w:val="1F497D"/>
          <w:sz w:val="26"/>
        </w:rPr>
        <w:t>Phát hiện ĐẶC BIỆT — TRÁI VỚI KỲ VỌNG</w:t>
      </w:r>
    </w:p>
    <w:p>
      <w:pPr>
        <w:ind w:firstLine="567"/>
        <w:jc w:val="both"/>
      </w:pPr>
      <w:r>
        <w:rPr>
          <w:b w:val="0"/>
          <w:i w:val="0"/>
          <w:color w:val="000000"/>
          <w:sz w:val="26"/>
        </w:rPr>
        <w:t>HTBB → RLLATQ: β = −0,015 (p = 0,646) — KHÔNG có ý nghĩa thống kê.</w:t>
      </w:r>
    </w:p>
    <w:p>
      <w:pPr>
        <w:ind w:firstLine="567"/>
        <w:jc w:val="both"/>
      </w:pPr>
      <w:r>
        <w:rPr>
          <w:b w:val="0"/>
          <w:i w:val="0"/>
          <w:color w:val="000000"/>
          <w:sz w:val="26"/>
        </w:rPr>
        <w:t>HTBB → RLLACL: β = −0,019 (p = 0,577) — KHÔNG có ý nghĩa thống kê.</w:t>
      </w:r>
    </w:p>
    <w:p>
      <w:pPr>
        <w:ind w:firstLine="567"/>
        <w:jc w:val="both"/>
      </w:pPr>
      <w:r>
        <w:rPr>
          <w:b w:val="0"/>
          <w:i w:val="0"/>
          <w:color w:val="000000"/>
          <w:sz w:val="26"/>
        </w:rPr>
        <w:t>HTBB → RLLAXH: β = −0,079 (p = 0,020) — có ý nghĩa thống kê NHƯNG cường độ RẤT NHỎ (|β| &lt; 0,10).</w:t>
      </w:r>
    </w:p>
    <w:p>
      <w:pPr>
        <w:ind w:firstLine="567"/>
        <w:jc w:val="both"/>
      </w:pPr>
      <w:r>
        <w:rPr>
          <w:b w:val="0"/>
          <w:i w:val="0"/>
          <w:color w:val="000000"/>
          <w:sz w:val="26"/>
        </w:rPr>
        <w:t>HTBB → RLLA tổng: β = −0,044 (p = 0,183) — KHÔNG có ý nghĩa thống kê. R² = 0,2% — TỐI THIỂU.</w:t>
      </w:r>
    </w:p>
    <w:p>
      <w:pPr>
        <w:ind w:firstLine="567"/>
        <w:jc w:val="both"/>
      </w:pPr>
      <w:r>
        <w:rPr>
          <w:b w:val="0"/>
          <w:i w:val="0"/>
          <w:color w:val="000000"/>
          <w:sz w:val="26"/>
        </w:rPr>
        <w:t>Đây là phát hiện CRITICAL: hỗ trợ bạn bè GẦN NHƯ KHÔNG có tác động bảo vệ trước RLLA ở học sinh THCS Việt Nam — TRÁI với y văn quốc tế. Có 4 khả năng giải thích.</w:t>
      </w:r>
    </w:p>
    <w:p>
      <w:r>
        <w:rPr>
          <w:b/>
          <w:color w:val="1F497D"/>
          <w:sz w:val="26"/>
        </w:rPr>
        <w:t>3. Bốn khả năng giải thích</w:t>
      </w:r>
    </w:p>
    <w:p>
      <w:pPr>
        <w:ind w:firstLine="567"/>
        <w:jc w:val="both"/>
      </w:pPr>
      <w:r>
        <w:rPr>
          <w:b w:val="0"/>
          <w:i w:val="0"/>
          <w:color w:val="000000"/>
          <w:sz w:val="26"/>
        </w:rPr>
        <w:t>KHẢ NĂNG 1 — Đặc thù lứa tuổi THCS. Học sinh lớp 6–9 (11–15 tuổi) có thể CHƯA phát triển đầy đủ kỹ năng dựa vào bạn bè. Hỗ trợ bạn bè trở nên quan trọng hơn ở THPT (15–18 tuổi).</w:t>
      </w:r>
    </w:p>
    <w:p>
      <w:pPr>
        <w:ind w:firstLine="567"/>
        <w:jc w:val="both"/>
      </w:pPr>
      <w:r>
        <w:rPr>
          <w:b w:val="0"/>
          <w:i w:val="0"/>
          <w:color w:val="000000"/>
          <w:sz w:val="26"/>
        </w:rPr>
        <w:t>KHẢ NĂNG 2 — Văn hóa Á tập trung vào gia đình. Trong văn hóa Việt Nam, gia đình (cha mẹ) đóng vai trò TRUNG TÂM trong hỗ trợ — bạn bè ở vị trí THỨ YẾU. Phù hợp với HTCM β = −0,234 mạnh hơn HTBB rất nhiều.</w:t>
      </w:r>
    </w:p>
    <w:p>
      <w:pPr>
        <w:ind w:firstLine="567"/>
        <w:jc w:val="both"/>
      </w:pPr>
      <w:r>
        <w:rPr>
          <w:b w:val="0"/>
          <w:i w:val="0"/>
          <w:color w:val="000000"/>
          <w:sz w:val="26"/>
        </w:rPr>
        <w:t>KHẢ NĂNG 3 — Chất lượng vs số lượng. Học sinh có thể có nhiều bạn nhưng quan hệ NÔNG. Phù hợp với phát hiện Fassi 2025 (Nature Hum Behav, QT027): thanh thiếu niên có nhiều bạn online nhưng kém hài lòng. Cần đo CHẤT LƯỢNG quan hệ thay vì chỉ cảm nhận hỗ trợ.</w:t>
      </w:r>
    </w:p>
    <w:p>
      <w:pPr>
        <w:ind w:firstLine="567"/>
        <w:jc w:val="both"/>
      </w:pPr>
      <w:r>
        <w:rPr>
          <w:b w:val="0"/>
          <w:i w:val="0"/>
          <w:color w:val="000000"/>
          <w:sz w:val="26"/>
        </w:rPr>
        <w:t>KHẢ NĂNG 4 — Mô hình SEM lỗi. Mô hình HTBB → RLLA (2 factor) được tác giả luận án đánh dấu là "mô hình lỗi" — có thể có vấn đề specification. Cần thử cấu trúc khác.</w:t>
      </w:r>
    </w:p>
    <w:p>
      <w:r>
        <w:rPr>
          <w:b/>
          <w:color w:val="1F497D"/>
          <w:sz w:val="26"/>
        </w:rPr>
        <w:t>4. Hàm ý</w:t>
      </w:r>
    </w:p>
    <w:p>
      <w:pPr>
        <w:ind w:firstLine="567"/>
        <w:jc w:val="both"/>
      </w:pPr>
      <w:r>
        <w:rPr>
          <w:b w:val="0"/>
          <w:i w:val="0"/>
          <w:color w:val="000000"/>
          <w:sz w:val="26"/>
        </w:rPr>
        <w:t>HÀM Ý 1 — KHÔNG dựa vào "tăng hỗ trợ bạn bè" làm can thiệp chính cho RLLA học sinh THCS Việt Nam. Hiệu quả không có bằng chứng tại lứa tuổi này.</w:t>
      </w:r>
    </w:p>
    <w:p>
      <w:pPr>
        <w:ind w:firstLine="567"/>
        <w:jc w:val="both"/>
      </w:pPr>
      <w:r>
        <w:rPr>
          <w:b w:val="0"/>
          <w:i w:val="0"/>
          <w:color w:val="000000"/>
          <w:sz w:val="26"/>
        </w:rPr>
        <w:t>HÀM Ý 2 — Tập trung vào CHẤT LƯỢNG quan hệ. Chương trình peer support (Murphy 2024 — QT066) có thể vẫn có giá trị nhưng cần CẤU TRÚC RÕ RÀNG về vai trò peer worker.</w:t>
      </w:r>
    </w:p>
    <w:p>
      <w:pPr>
        <w:ind w:firstLine="567"/>
        <w:jc w:val="both"/>
      </w:pPr>
      <w:r>
        <w:rPr>
          <w:b w:val="0"/>
          <w:i w:val="0"/>
          <w:color w:val="000000"/>
          <w:sz w:val="26"/>
        </w:rPr>
        <w:t>HÀM Ý 3 — Lặp lại nghiên cứu ở THPT. Kiểm tra xem hỗ trợ bạn bè có tác động bảo vệ ở lứa tuổi cao hơn (15–18) không.</w:t>
      </w:r>
    </w:p>
    <w:p>
      <w:r>
        <w:rPr>
          <w:b/>
          <w:color w:val="1F497D"/>
          <w:sz w:val="26"/>
        </w:rPr>
        <w:t>5. CÂU TRẢ LỜI</w:t>
      </w:r>
    </w:p>
    <w:p>
      <w:pPr>
        <w:jc w:val="both"/>
      </w:pPr>
      <w:r>
        <w:rPr>
          <w:b/>
          <w:i w:val="0"/>
          <w:color w:val="0070C0"/>
          <w:sz w:val="24"/>
        </w:rPr>
        <w:t>Diễn giải HTBB (hỗ trợ bạn bè) — phát hiện CRITICAL:</w:t>
      </w:r>
    </w:p>
    <w:p>
      <w:pPr>
        <w:jc w:val="both"/>
      </w:pPr>
      <w:r>
        <w:rPr>
          <w:b w:val="0"/>
          <w:i w:val="0"/>
          <w:color w:val="0070C0"/>
          <w:sz w:val="24"/>
        </w:rPr>
        <w:t>(1) HTBB GẦN NHƯ KHÔNG có tác động bảo vệ trước RLLA ở HS THCS Việt Nam. β → RLLATQ = −0,015 (NS); β → RLLACL = −0,019 (NS); β → RLLAXH = −0,079 (sig nhưng |β| &lt; 0,10).</w:t>
      </w:r>
    </w:p>
    <w:p>
      <w:pPr>
        <w:jc w:val="both"/>
      </w:pPr>
      <w:r>
        <w:rPr>
          <w:b w:val="0"/>
          <w:i w:val="0"/>
          <w:color w:val="0070C0"/>
          <w:sz w:val="24"/>
        </w:rPr>
        <w:t>(2) β → RLLA tổng = −0,044 (p = 0,183 NS); R² = 0,2% — TRÁI với y văn quốc tế.</w:t>
      </w:r>
    </w:p>
    <w:p>
      <w:pPr>
        <w:jc w:val="both"/>
      </w:pPr>
      <w:r>
        <w:rPr>
          <w:b w:val="0"/>
          <w:i w:val="0"/>
          <w:color w:val="0070C0"/>
          <w:sz w:val="24"/>
        </w:rPr>
        <w:t>(3) Bốn khả năng: tuổi THCS quá sớm, văn hóa Á tập trung gia đình, chất lượng quan hệ thấp, mô hình SEM có vấn đề specification.</w:t>
      </w:r>
    </w:p>
    <w:p>
      <w:pPr>
        <w:jc w:val="both"/>
      </w:pPr>
      <w:r>
        <w:rPr>
          <w:b w:val="0"/>
          <w:i w:val="0"/>
          <w:color w:val="0070C0"/>
          <w:sz w:val="24"/>
        </w:rPr>
        <w:t>(4) Hàm ý: KHÔNG dựa vào hỗ trợ bạn bè làm can thiệp chính. Cần đo CHẤT LƯỢNG quan hệ + lặp lại ở THPT.</w:t>
      </w:r>
    </w:p>
    <w:p>
      <w:r>
        <w:rPr>
          <w:b/>
          <w:color w:val="1F497D"/>
          <w:sz w:val="26"/>
        </w:rPr>
        <w:t>6. Tài liệu tham khảo</w:t>
      </w:r>
    </w:p>
    <w:p>
      <w:pPr>
        <w:ind w:left="567" w:hanging="567"/>
        <w:jc w:val="both"/>
      </w:pPr>
      <w:r>
        <w:rPr>
          <w:sz w:val="24"/>
        </w:rPr>
        <w:t>Fassi, L., và cộng sự. (2025). Social media use in adolescents with and without mental health conditions. Nature Human Behaviour, 9(6), 1283–1299. [QT027 trong cơ sở dữ liệu.]</w:t>
      </w:r>
    </w:p>
    <w:p>
      <w:pPr>
        <w:ind w:left="567" w:hanging="567"/>
        <w:jc w:val="both"/>
      </w:pPr>
      <w:r>
        <w:rPr>
          <w:sz w:val="24"/>
        </w:rPr>
        <w:t>Murphy, R., và cộng sự. (2024). A systematic scoping review of peer support interventions in integrated primary youth mental health care. Journal of Community Psychology, 52(1), 154–180. [QT066.]</w:t>
      </w:r>
    </w:p>
    <w:p>
      <w:pPr>
        <w:ind w:left="567" w:hanging="567"/>
        <w:jc w:val="both"/>
      </w:pPr>
      <w:r>
        <w:rPr>
          <w:sz w:val="24"/>
        </w:rPr>
        <w:t>Zimet, G. D., Dahlem, N. W., Zimet, S. G., &amp; Farley, G. K. (1988). The Multidimensional Scale of Perceived Social Support. Journal of Personality Assessment, 52(1), 30–41.</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