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DIỄN GIẢI YẾU TỐ HỖ TRỢ TỪ CHA MẸ (HTCM)</w:t>
        <w:br/>
        <w:t>— Bảng 3.22 (mục G), 3.33, 3.34 chương 3 luận án —</w:t>
      </w:r>
    </w:p>
    <w:p>
      <w:pPr>
        <w:ind w:firstLine="567"/>
        <w:jc w:val="both"/>
      </w:pPr>
      <w:r>
        <w:rPr>
          <w:b w:val="0"/>
          <w:i w:val="0"/>
          <w:color w:val="000000"/>
          <w:sz w:val="26"/>
        </w:rPr>
      </w:r>
    </w:p>
    <w:p>
      <w:r>
        <w:rPr>
          <w:b/>
          <w:color w:val="1F497D"/>
          <w:sz w:val="26"/>
        </w:rPr>
        <w:t>1. Khung khái niệm</w:t>
      </w:r>
    </w:p>
    <w:p>
      <w:pPr>
        <w:jc w:val="both"/>
      </w:pPr>
      <w:r>
        <w:rPr>
          <w:b w:val="0"/>
          <w:i w:val="0"/>
          <w:color w:val="000000"/>
          <w:sz w:val="26"/>
        </w:rPr>
        <w:t>HỖ TRỢ TỪ CHA MẸ là cảm nhận của học sinh về sự sẵn sàng giúp đỡ về CẢM XÚC, THÔNG TIN, và VẬT CHẤT từ gia đình. Đo bằng tiểu thang Family thuộc Multidimensional Scale of Perceived Social Support (MSPSS; Zimet và cộng sự, 1988).</w:t>
      </w:r>
    </w:p>
    <w:p>
      <w:r>
        <w:rPr>
          <w:b/>
          <w:color w:val="1F497D"/>
          <w:sz w:val="26"/>
        </w:rPr>
        <w:t>2. Diễn giải Bảng 3.22 — Mức độ HTCM</w:t>
      </w:r>
    </w:p>
    <w:p>
      <w:pPr>
        <w:jc w:val="center"/>
      </w:pPr>
      <w:r>
        <w:rPr>
          <w:b/>
          <w:sz w:val="24"/>
        </w:rPr>
        <w:t>Bảng 1. Biểu hiện HTCM (rút từ Bảng 3.22 mục G)</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sz w:val="20"/>
              </w:rPr>
              <w:t>Mục</w:t>
            </w:r>
          </w:p>
        </w:tc>
        <w:tc>
          <w:tcPr>
            <w:tcW w:type="dxa" w:w="1881"/>
          </w:tcPr>
          <w:p>
            <w:r>
              <w:rPr>
                <w:rFonts w:ascii="Times New Roman" w:hAnsi="Times New Roman"/>
                <w:sz w:val="20"/>
              </w:rPr>
              <w:t>Nội dung</w:t>
            </w:r>
          </w:p>
        </w:tc>
        <w:tc>
          <w:tcPr>
            <w:tcW w:type="dxa" w:w="1881"/>
          </w:tcPr>
          <w:p>
            <w:r>
              <w:rPr>
                <w:rFonts w:ascii="Times New Roman" w:hAnsi="Times New Roman"/>
                <w:sz w:val="20"/>
              </w:rPr>
              <w:t>ĐTB</w:t>
            </w:r>
          </w:p>
        </w:tc>
        <w:tc>
          <w:tcPr>
            <w:tcW w:type="dxa" w:w="1881"/>
          </w:tcPr>
          <w:p>
            <w:r>
              <w:rPr>
                <w:rFonts w:ascii="Times New Roman" w:hAnsi="Times New Roman"/>
                <w:sz w:val="20"/>
              </w:rPr>
              <w:t>ĐLC</w:t>
            </w:r>
          </w:p>
        </w:tc>
        <w:tc>
          <w:tcPr>
            <w:tcW w:type="dxa" w:w="1881"/>
          </w:tcPr>
          <w:p>
            <w:r>
              <w:rPr>
                <w:rFonts w:ascii="Times New Roman" w:hAnsi="Times New Roman"/>
                <w:sz w:val="20"/>
              </w:rPr>
              <w:t>Thứ bậc</w:t>
            </w:r>
          </w:p>
        </w:tc>
      </w:tr>
      <w:tr>
        <w:tc>
          <w:tcPr>
            <w:tcW w:type="dxa" w:w="1881"/>
          </w:tcPr>
          <w:p>
            <w:r>
              <w:rPr>
                <w:rFonts w:ascii="Times New Roman" w:hAnsi="Times New Roman"/>
                <w:sz w:val="20"/>
              </w:rPr>
              <w:t>G. Hỗ trợ từ cha mẹ</w:t>
            </w:r>
          </w:p>
        </w:tc>
        <w:tc>
          <w:tcPr>
            <w:tcW w:type="dxa" w:w="1881"/>
          </w:tcPr>
          <w:p>
            <w:r>
              <w:rPr>
                <w:rFonts w:ascii="Times New Roman" w:hAnsi="Times New Roman"/>
                <w:sz w:val="20"/>
              </w:rPr>
              <w:t>Tổng nhóm</w:t>
            </w:r>
          </w:p>
        </w:tc>
        <w:tc>
          <w:tcPr>
            <w:tcW w:type="dxa" w:w="1881"/>
          </w:tcPr>
          <w:p>
            <w:r>
              <w:rPr>
                <w:rFonts w:ascii="Times New Roman" w:hAnsi="Times New Roman"/>
                <w:sz w:val="20"/>
              </w:rPr>
              <w:t>57,65</w:t>
            </w:r>
          </w:p>
        </w:tc>
        <w:tc>
          <w:tcPr>
            <w:tcW w:type="dxa" w:w="1881"/>
          </w:tcPr>
          <w:p>
            <w:r>
              <w:rPr>
                <w:rFonts w:ascii="Times New Roman" w:hAnsi="Times New Roman"/>
                <w:sz w:val="20"/>
              </w:rPr>
              <w:t>27,001</w:t>
            </w:r>
          </w:p>
        </w:tc>
        <w:tc>
          <w:tcPr>
            <w:tcW w:type="dxa" w:w="1881"/>
          </w:tcPr>
          <w:p>
            <w:r>
              <w:rPr>
                <w:rFonts w:ascii="Times New Roman" w:hAnsi="Times New Roman"/>
                <w:sz w:val="20"/>
              </w:rPr>
              <w:t>1</w:t>
            </w:r>
          </w:p>
        </w:tc>
      </w:tr>
      <w:tr>
        <w:tc>
          <w:tcPr>
            <w:tcW w:type="dxa" w:w="1881"/>
          </w:tcPr>
          <w:p>
            <w:r>
              <w:rPr>
                <w:rFonts w:ascii="Times New Roman" w:hAnsi="Times New Roman"/>
                <w:sz w:val="20"/>
              </w:rPr>
              <w:t>MSPSS.3</w:t>
            </w:r>
          </w:p>
        </w:tc>
        <w:tc>
          <w:tcPr>
            <w:tcW w:type="dxa" w:w="1881"/>
          </w:tcPr>
          <w:p>
            <w:r>
              <w:rPr>
                <w:rFonts w:ascii="Times New Roman" w:hAnsi="Times New Roman"/>
                <w:sz w:val="20"/>
              </w:rPr>
              <w:t>Gia đình thực sự cố gắng giúp đỡ</w:t>
            </w:r>
          </w:p>
        </w:tc>
        <w:tc>
          <w:tcPr>
            <w:tcW w:type="dxa" w:w="1881"/>
          </w:tcPr>
          <w:p>
            <w:r>
              <w:rPr>
                <w:rFonts w:ascii="Times New Roman" w:hAnsi="Times New Roman"/>
                <w:sz w:val="20"/>
              </w:rPr>
              <w:t>65,48</w:t>
            </w:r>
          </w:p>
        </w:tc>
        <w:tc>
          <w:tcPr>
            <w:tcW w:type="dxa" w:w="1881"/>
          </w:tcPr>
          <w:p>
            <w:r>
              <w:rPr>
                <w:rFonts w:ascii="Times New Roman" w:hAnsi="Times New Roman"/>
                <w:sz w:val="20"/>
              </w:rPr>
              <w:t>31,441</w:t>
            </w:r>
          </w:p>
        </w:tc>
        <w:tc>
          <w:tcPr>
            <w:tcW w:type="dxa" w:w="1881"/>
          </w:tcPr>
          <w:p>
            <w:r>
              <w:rPr>
                <w:rFonts w:ascii="Times New Roman" w:hAnsi="Times New Roman"/>
                <w:sz w:val="20"/>
              </w:rPr>
              <w:t>1</w:t>
            </w:r>
          </w:p>
        </w:tc>
      </w:tr>
      <w:tr>
        <w:tc>
          <w:tcPr>
            <w:tcW w:type="dxa" w:w="1881"/>
          </w:tcPr>
          <w:p>
            <w:r>
              <w:rPr>
                <w:rFonts w:ascii="Times New Roman" w:hAnsi="Times New Roman"/>
                <w:sz w:val="20"/>
              </w:rPr>
              <w:t>MSPSS.4</w:t>
            </w:r>
          </w:p>
        </w:tc>
        <w:tc>
          <w:tcPr>
            <w:tcW w:type="dxa" w:w="1881"/>
          </w:tcPr>
          <w:p>
            <w:r>
              <w:rPr>
                <w:rFonts w:ascii="Times New Roman" w:hAnsi="Times New Roman"/>
                <w:sz w:val="20"/>
              </w:rPr>
              <w:t>Hỗ trợ về cảm xúc từ gia đình</w:t>
            </w:r>
          </w:p>
        </w:tc>
        <w:tc>
          <w:tcPr>
            <w:tcW w:type="dxa" w:w="1881"/>
          </w:tcPr>
          <w:p>
            <w:r>
              <w:rPr>
                <w:rFonts w:ascii="Times New Roman" w:hAnsi="Times New Roman"/>
                <w:sz w:val="20"/>
              </w:rPr>
              <w:t>59,82</w:t>
            </w:r>
          </w:p>
        </w:tc>
        <w:tc>
          <w:tcPr>
            <w:tcW w:type="dxa" w:w="1881"/>
          </w:tcPr>
          <w:p>
            <w:r>
              <w:rPr>
                <w:rFonts w:ascii="Times New Roman" w:hAnsi="Times New Roman"/>
                <w:sz w:val="20"/>
              </w:rPr>
              <w:t>32,806</w:t>
            </w:r>
          </w:p>
        </w:tc>
        <w:tc>
          <w:tcPr>
            <w:tcW w:type="dxa" w:w="1881"/>
          </w:tcPr>
          <w:p>
            <w:r>
              <w:rPr>
                <w:rFonts w:ascii="Times New Roman" w:hAnsi="Times New Roman"/>
                <w:sz w:val="20"/>
              </w:rPr>
              <w:t>2</w:t>
            </w:r>
          </w:p>
        </w:tc>
      </w:tr>
      <w:tr>
        <w:tc>
          <w:tcPr>
            <w:tcW w:type="dxa" w:w="1881"/>
          </w:tcPr>
          <w:p>
            <w:r>
              <w:rPr>
                <w:rFonts w:ascii="Times New Roman" w:hAnsi="Times New Roman"/>
                <w:sz w:val="20"/>
              </w:rPr>
              <w:t>MSPSS.11</w:t>
            </w:r>
          </w:p>
        </w:tc>
        <w:tc>
          <w:tcPr>
            <w:tcW w:type="dxa" w:w="1881"/>
          </w:tcPr>
          <w:p>
            <w:r>
              <w:rPr>
                <w:rFonts w:ascii="Times New Roman" w:hAnsi="Times New Roman"/>
                <w:sz w:val="20"/>
              </w:rPr>
              <w:t>Gia đình giúp đưa ra quyết định</w:t>
            </w:r>
          </w:p>
        </w:tc>
        <w:tc>
          <w:tcPr>
            <w:tcW w:type="dxa" w:w="1881"/>
          </w:tcPr>
          <w:p>
            <w:r>
              <w:rPr>
                <w:rFonts w:ascii="Times New Roman" w:hAnsi="Times New Roman"/>
                <w:sz w:val="20"/>
              </w:rPr>
              <w:t>57,75</w:t>
            </w:r>
          </w:p>
        </w:tc>
        <w:tc>
          <w:tcPr>
            <w:tcW w:type="dxa" w:w="1881"/>
          </w:tcPr>
          <w:p>
            <w:r>
              <w:rPr>
                <w:rFonts w:ascii="Times New Roman" w:hAnsi="Times New Roman"/>
                <w:sz w:val="20"/>
              </w:rPr>
              <w:t>31,969</w:t>
            </w:r>
          </w:p>
        </w:tc>
        <w:tc>
          <w:tcPr>
            <w:tcW w:type="dxa" w:w="1881"/>
          </w:tcPr>
          <w:p>
            <w:r>
              <w:rPr>
                <w:rFonts w:ascii="Times New Roman" w:hAnsi="Times New Roman"/>
                <w:sz w:val="20"/>
              </w:rPr>
              <w:t>3</w:t>
            </w:r>
          </w:p>
        </w:tc>
      </w:tr>
      <w:tr>
        <w:tc>
          <w:tcPr>
            <w:tcW w:type="dxa" w:w="1881"/>
          </w:tcPr>
          <w:p>
            <w:r>
              <w:rPr>
                <w:rFonts w:ascii="Times New Roman" w:hAnsi="Times New Roman"/>
                <w:sz w:val="20"/>
              </w:rPr>
              <w:t>MSPSS.8</w:t>
            </w:r>
          </w:p>
        </w:tc>
        <w:tc>
          <w:tcPr>
            <w:tcW w:type="dxa" w:w="1881"/>
          </w:tcPr>
          <w:p>
            <w:r>
              <w:rPr>
                <w:rFonts w:ascii="Times New Roman" w:hAnsi="Times New Roman"/>
                <w:sz w:val="20"/>
              </w:rPr>
              <w:t>Có thể nói chuyện về vấn đề</w:t>
            </w:r>
          </w:p>
        </w:tc>
        <w:tc>
          <w:tcPr>
            <w:tcW w:type="dxa" w:w="1881"/>
          </w:tcPr>
          <w:p>
            <w:r>
              <w:rPr>
                <w:rFonts w:ascii="Times New Roman" w:hAnsi="Times New Roman"/>
                <w:sz w:val="20"/>
              </w:rPr>
              <w:t>47,54</w:t>
            </w:r>
          </w:p>
        </w:tc>
        <w:tc>
          <w:tcPr>
            <w:tcW w:type="dxa" w:w="1881"/>
          </w:tcPr>
          <w:p>
            <w:r>
              <w:rPr>
                <w:rFonts w:ascii="Times New Roman" w:hAnsi="Times New Roman"/>
                <w:sz w:val="20"/>
              </w:rPr>
              <w:t>34,157</w:t>
            </w:r>
          </w:p>
        </w:tc>
        <w:tc>
          <w:tcPr>
            <w:tcW w:type="dxa" w:w="1881"/>
          </w:tcPr>
          <w:p>
            <w:r>
              <w:rPr>
                <w:rFonts w:ascii="Times New Roman" w:hAnsi="Times New Roman"/>
                <w:sz w:val="20"/>
              </w:rPr>
              <w:t>4</w:t>
            </w:r>
          </w:p>
        </w:tc>
      </w:tr>
    </w:tbl>
    <w:p>
      <w:pPr>
        <w:ind w:firstLine="567"/>
        <w:jc w:val="both"/>
      </w:pPr>
      <w:r>
        <w:rPr>
          <w:b w:val="0"/>
          <w:i w:val="0"/>
          <w:color w:val="000000"/>
          <w:sz w:val="26"/>
        </w:rPr>
      </w:r>
    </w:p>
    <w:p>
      <w:pPr>
        <w:ind w:firstLine="567"/>
        <w:jc w:val="both"/>
      </w:pPr>
      <w:r>
        <w:rPr>
          <w:b w:val="0"/>
          <w:i w:val="0"/>
          <w:color w:val="000000"/>
          <w:sz w:val="26"/>
        </w:rPr>
        <w:t>ĐTB tổng = 57,65 — CAO NHẤT trong nhóm yếu tố bảo vệ (thứ bậc 1). MSPSS.3 (gia đình giúp đỡ) có ĐTB cao nhất 65,48 — gần 2/3 thang đo. Điểm yếu: MSPSS.8 (nói chuyện về vấn đề) có ĐTB chỉ 47,54 — gợi ý CHA MẸ Việt Nam giỏi HỖ TRỢ THỰC TẾ nhưng yếu hơn về GIAO TIẾP CẢM XÚC.</w:t>
      </w:r>
    </w:p>
    <w:p>
      <w:r>
        <w:rPr>
          <w:b/>
          <w:color w:val="1F497D"/>
          <w:sz w:val="26"/>
        </w:rPr>
        <w:t>3. Diễn giải Bảng 3.33 — Fit indices SEM HTCM</w:t>
      </w:r>
    </w:p>
    <w:p>
      <w:pPr>
        <w:jc w:val="center"/>
      </w:pPr>
      <w:r>
        <w:rPr>
          <w:b/>
          <w:sz w:val="24"/>
        </w:rPr>
        <w:t>Bảng 2. Fit indices HTCM → RLLA (Bảng 3.33)</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sz w:val="20"/>
              </w:rPr>
              <w:t>Mô hình</w:t>
            </w:r>
          </w:p>
        </w:tc>
        <w:tc>
          <w:tcPr>
            <w:tcW w:type="dxa" w:w="1344"/>
          </w:tcPr>
          <w:p>
            <w:r>
              <w:rPr>
                <w:rFonts w:ascii="Times New Roman" w:hAnsi="Times New Roman"/>
                <w:sz w:val="20"/>
              </w:rPr>
              <w:t>χ²(df)</w:t>
            </w:r>
          </w:p>
        </w:tc>
        <w:tc>
          <w:tcPr>
            <w:tcW w:type="dxa" w:w="1344"/>
          </w:tcPr>
          <w:p>
            <w:r>
              <w:rPr>
                <w:rFonts w:ascii="Times New Roman" w:hAnsi="Times New Roman"/>
                <w:sz w:val="20"/>
              </w:rPr>
              <w:t>χ²/df</w:t>
            </w:r>
          </w:p>
        </w:tc>
        <w:tc>
          <w:tcPr>
            <w:tcW w:type="dxa" w:w="1344"/>
          </w:tcPr>
          <w:p>
            <w:r>
              <w:rPr>
                <w:rFonts w:ascii="Times New Roman" w:hAnsi="Times New Roman"/>
                <w:sz w:val="20"/>
              </w:rPr>
              <w:t>CFI</w:t>
            </w:r>
          </w:p>
        </w:tc>
        <w:tc>
          <w:tcPr>
            <w:tcW w:type="dxa" w:w="1344"/>
          </w:tcPr>
          <w:p>
            <w:r>
              <w:rPr>
                <w:rFonts w:ascii="Times New Roman" w:hAnsi="Times New Roman"/>
                <w:sz w:val="20"/>
              </w:rPr>
              <w:t>TLI</w:t>
            </w:r>
          </w:p>
        </w:tc>
        <w:tc>
          <w:tcPr>
            <w:tcW w:type="dxa" w:w="1344"/>
          </w:tcPr>
          <w:p>
            <w:r>
              <w:rPr>
                <w:rFonts w:ascii="Times New Roman" w:hAnsi="Times New Roman"/>
                <w:sz w:val="20"/>
              </w:rPr>
              <w:t>RMSEA</w:t>
            </w:r>
          </w:p>
        </w:tc>
        <w:tc>
          <w:tcPr>
            <w:tcW w:type="dxa" w:w="1344"/>
          </w:tcPr>
          <w:p>
            <w:r>
              <w:rPr>
                <w:rFonts w:ascii="Times New Roman" w:hAnsi="Times New Roman"/>
                <w:sz w:val="20"/>
              </w:rPr>
              <w:t>90% CI</w:t>
            </w:r>
          </w:p>
        </w:tc>
      </w:tr>
      <w:tr>
        <w:tc>
          <w:tcPr>
            <w:tcW w:type="dxa" w:w="1344"/>
          </w:tcPr>
          <w:p>
            <w:r>
              <w:rPr>
                <w:rFonts w:ascii="Times New Roman" w:hAnsi="Times New Roman"/>
                <w:sz w:val="20"/>
              </w:rPr>
              <w:t>HTCM–RLLATQ</w:t>
            </w:r>
          </w:p>
        </w:tc>
        <w:tc>
          <w:tcPr>
            <w:tcW w:type="dxa" w:w="1344"/>
          </w:tcPr>
          <w:p>
            <w:r>
              <w:rPr>
                <w:rFonts w:ascii="Times New Roman" w:hAnsi="Times New Roman"/>
                <w:sz w:val="20"/>
              </w:rPr>
              <w:t>136,234 (43)</w:t>
            </w:r>
          </w:p>
        </w:tc>
        <w:tc>
          <w:tcPr>
            <w:tcW w:type="dxa" w:w="1344"/>
          </w:tcPr>
          <w:p>
            <w:r>
              <w:rPr>
                <w:rFonts w:ascii="Times New Roman" w:hAnsi="Times New Roman"/>
                <w:sz w:val="20"/>
              </w:rPr>
              <w:t>3,168</w:t>
            </w:r>
          </w:p>
        </w:tc>
        <w:tc>
          <w:tcPr>
            <w:tcW w:type="dxa" w:w="1344"/>
          </w:tcPr>
          <w:p>
            <w:r>
              <w:rPr>
                <w:rFonts w:ascii="Times New Roman" w:hAnsi="Times New Roman"/>
                <w:sz w:val="20"/>
              </w:rPr>
              <w:t>0,981</w:t>
            </w:r>
          </w:p>
        </w:tc>
        <w:tc>
          <w:tcPr>
            <w:tcW w:type="dxa" w:w="1344"/>
          </w:tcPr>
          <w:p>
            <w:r>
              <w:rPr>
                <w:rFonts w:ascii="Times New Roman" w:hAnsi="Times New Roman"/>
                <w:sz w:val="20"/>
              </w:rPr>
              <w:t>0,975</w:t>
            </w:r>
          </w:p>
        </w:tc>
        <w:tc>
          <w:tcPr>
            <w:tcW w:type="dxa" w:w="1344"/>
          </w:tcPr>
          <w:p>
            <w:r>
              <w:rPr>
                <w:rFonts w:ascii="Times New Roman" w:hAnsi="Times New Roman"/>
                <w:sz w:val="20"/>
              </w:rPr>
              <w:t>0,040</w:t>
            </w:r>
          </w:p>
        </w:tc>
        <w:tc>
          <w:tcPr>
            <w:tcW w:type="dxa" w:w="1344"/>
          </w:tcPr>
          <w:p>
            <w:r>
              <w:rPr>
                <w:rFonts w:ascii="Times New Roman" w:hAnsi="Times New Roman"/>
                <w:sz w:val="20"/>
              </w:rPr>
              <w:t>0,033–0,048</w:t>
            </w:r>
          </w:p>
        </w:tc>
      </w:tr>
      <w:tr>
        <w:tc>
          <w:tcPr>
            <w:tcW w:type="dxa" w:w="1344"/>
          </w:tcPr>
          <w:p>
            <w:r>
              <w:rPr>
                <w:rFonts w:ascii="Times New Roman" w:hAnsi="Times New Roman"/>
                <w:sz w:val="20"/>
              </w:rPr>
              <w:t>HTCM–RLLACL</w:t>
            </w:r>
          </w:p>
        </w:tc>
        <w:tc>
          <w:tcPr>
            <w:tcW w:type="dxa" w:w="1344"/>
          </w:tcPr>
          <w:p>
            <w:r>
              <w:rPr>
                <w:rFonts w:ascii="Times New Roman" w:hAnsi="Times New Roman"/>
                <w:sz w:val="20"/>
              </w:rPr>
              <w:t>87,436 (19)</w:t>
            </w:r>
          </w:p>
        </w:tc>
        <w:tc>
          <w:tcPr>
            <w:tcW w:type="dxa" w:w="1344"/>
          </w:tcPr>
          <w:p>
            <w:r>
              <w:rPr>
                <w:rFonts w:ascii="Times New Roman" w:hAnsi="Times New Roman"/>
                <w:sz w:val="20"/>
              </w:rPr>
              <w:t>4,602</w:t>
            </w:r>
          </w:p>
        </w:tc>
        <w:tc>
          <w:tcPr>
            <w:tcW w:type="dxa" w:w="1344"/>
          </w:tcPr>
          <w:p>
            <w:r>
              <w:rPr>
                <w:rFonts w:ascii="Times New Roman" w:hAnsi="Times New Roman"/>
                <w:sz w:val="20"/>
              </w:rPr>
              <w:t>0,980</w:t>
            </w:r>
          </w:p>
        </w:tc>
        <w:tc>
          <w:tcPr>
            <w:tcW w:type="dxa" w:w="1344"/>
          </w:tcPr>
          <w:p>
            <w:r>
              <w:rPr>
                <w:rFonts w:ascii="Times New Roman" w:hAnsi="Times New Roman"/>
                <w:sz w:val="20"/>
              </w:rPr>
              <w:t>0,970</w:t>
            </w:r>
          </w:p>
        </w:tc>
        <w:tc>
          <w:tcPr>
            <w:tcW w:type="dxa" w:w="1344"/>
          </w:tcPr>
          <w:p>
            <w:r>
              <w:rPr>
                <w:rFonts w:ascii="Times New Roman" w:hAnsi="Times New Roman"/>
                <w:sz w:val="20"/>
              </w:rPr>
              <w:t>0,052</w:t>
            </w:r>
          </w:p>
        </w:tc>
        <w:tc>
          <w:tcPr>
            <w:tcW w:type="dxa" w:w="1344"/>
          </w:tcPr>
          <w:p>
            <w:r>
              <w:rPr>
                <w:rFonts w:ascii="Times New Roman" w:hAnsi="Times New Roman"/>
                <w:sz w:val="20"/>
              </w:rPr>
              <w:t>0,041–0,063</w:t>
            </w:r>
          </w:p>
        </w:tc>
      </w:tr>
      <w:tr>
        <w:tc>
          <w:tcPr>
            <w:tcW w:type="dxa" w:w="1344"/>
          </w:tcPr>
          <w:p>
            <w:r>
              <w:rPr>
                <w:rFonts w:ascii="Times New Roman" w:hAnsi="Times New Roman"/>
                <w:sz w:val="20"/>
              </w:rPr>
              <w:t>HTCM–RLLAXH</w:t>
            </w:r>
          </w:p>
        </w:tc>
        <w:tc>
          <w:tcPr>
            <w:tcW w:type="dxa" w:w="1344"/>
          </w:tcPr>
          <w:p>
            <w:r>
              <w:rPr>
                <w:rFonts w:ascii="Times New Roman" w:hAnsi="Times New Roman"/>
                <w:sz w:val="20"/>
              </w:rPr>
              <w:t>61,229 (19)</w:t>
            </w:r>
          </w:p>
        </w:tc>
        <w:tc>
          <w:tcPr>
            <w:tcW w:type="dxa" w:w="1344"/>
          </w:tcPr>
          <w:p>
            <w:r>
              <w:rPr>
                <w:rFonts w:ascii="Times New Roman" w:hAnsi="Times New Roman"/>
                <w:sz w:val="20"/>
              </w:rPr>
              <w:t>3,223</w:t>
            </w:r>
          </w:p>
        </w:tc>
        <w:tc>
          <w:tcPr>
            <w:tcW w:type="dxa" w:w="1344"/>
          </w:tcPr>
          <w:p>
            <w:r>
              <w:rPr>
                <w:rFonts w:ascii="Times New Roman" w:hAnsi="Times New Roman"/>
                <w:sz w:val="20"/>
              </w:rPr>
              <w:t>0,988</w:t>
            </w:r>
          </w:p>
        </w:tc>
        <w:tc>
          <w:tcPr>
            <w:tcW w:type="dxa" w:w="1344"/>
          </w:tcPr>
          <w:p>
            <w:r>
              <w:rPr>
                <w:rFonts w:ascii="Times New Roman" w:hAnsi="Times New Roman"/>
                <w:sz w:val="20"/>
              </w:rPr>
              <w:t>0,983</w:t>
            </w:r>
          </w:p>
        </w:tc>
        <w:tc>
          <w:tcPr>
            <w:tcW w:type="dxa" w:w="1344"/>
          </w:tcPr>
          <w:p>
            <w:r>
              <w:rPr>
                <w:rFonts w:ascii="Times New Roman" w:hAnsi="Times New Roman"/>
                <w:sz w:val="20"/>
              </w:rPr>
              <w:t>0,041</w:t>
            </w:r>
          </w:p>
        </w:tc>
        <w:tc>
          <w:tcPr>
            <w:tcW w:type="dxa" w:w="1344"/>
          </w:tcPr>
          <w:p>
            <w:r>
              <w:rPr>
                <w:rFonts w:ascii="Times New Roman" w:hAnsi="Times New Roman"/>
                <w:sz w:val="20"/>
              </w:rPr>
              <w:t>0,029–0,052</w:t>
            </w:r>
          </w:p>
        </w:tc>
      </w:tr>
      <w:tr>
        <w:tc>
          <w:tcPr>
            <w:tcW w:type="dxa" w:w="1344"/>
          </w:tcPr>
          <w:p>
            <w:r>
              <w:rPr>
                <w:rFonts w:ascii="Times New Roman" w:hAnsi="Times New Roman"/>
                <w:sz w:val="20"/>
              </w:rPr>
              <w:t>HTCM–RLLA</w:t>
            </w:r>
          </w:p>
        </w:tc>
        <w:tc>
          <w:tcPr>
            <w:tcW w:type="dxa" w:w="1344"/>
          </w:tcPr>
          <w:p>
            <w:r>
              <w:rPr>
                <w:rFonts w:ascii="Times New Roman" w:hAnsi="Times New Roman"/>
                <w:sz w:val="20"/>
              </w:rPr>
              <w:t>84,551 (13)</w:t>
            </w:r>
          </w:p>
        </w:tc>
        <w:tc>
          <w:tcPr>
            <w:tcW w:type="dxa" w:w="1344"/>
          </w:tcPr>
          <w:p>
            <w:r>
              <w:rPr>
                <w:rFonts w:ascii="Times New Roman" w:hAnsi="Times New Roman"/>
                <w:sz w:val="20"/>
              </w:rPr>
              <w:t>6,504</w:t>
            </w:r>
          </w:p>
        </w:tc>
        <w:tc>
          <w:tcPr>
            <w:tcW w:type="dxa" w:w="1344"/>
          </w:tcPr>
          <w:p>
            <w:r>
              <w:rPr>
                <w:rFonts w:ascii="Times New Roman" w:hAnsi="Times New Roman"/>
                <w:sz w:val="20"/>
              </w:rPr>
              <w:t>0,979</w:t>
            </w:r>
          </w:p>
        </w:tc>
        <w:tc>
          <w:tcPr>
            <w:tcW w:type="dxa" w:w="1344"/>
          </w:tcPr>
          <w:p>
            <w:r>
              <w:rPr>
                <w:rFonts w:ascii="Times New Roman" w:hAnsi="Times New Roman"/>
                <w:sz w:val="20"/>
              </w:rPr>
              <w:t>0,966</w:t>
            </w:r>
          </w:p>
        </w:tc>
        <w:tc>
          <w:tcPr>
            <w:tcW w:type="dxa" w:w="1344"/>
          </w:tcPr>
          <w:p>
            <w:r>
              <w:rPr>
                <w:rFonts w:ascii="Times New Roman" w:hAnsi="Times New Roman"/>
                <w:sz w:val="20"/>
              </w:rPr>
              <w:t>0,064</w:t>
            </w:r>
          </w:p>
        </w:tc>
        <w:tc>
          <w:tcPr>
            <w:tcW w:type="dxa" w:w="1344"/>
          </w:tcPr>
          <w:p>
            <w:r>
              <w:rPr>
                <w:rFonts w:ascii="Times New Roman" w:hAnsi="Times New Roman"/>
                <w:sz w:val="20"/>
              </w:rPr>
              <w:t>0,051–0,077</w:t>
            </w:r>
          </w:p>
        </w:tc>
      </w:tr>
      <w:tr>
        <w:tc>
          <w:tcPr>
            <w:tcW w:type="dxa" w:w="1344"/>
          </w:tcPr>
          <w:p>
            <w:r>
              <w:rPr>
                <w:rFonts w:ascii="Times New Roman" w:hAnsi="Times New Roman"/>
                <w:sz w:val="20"/>
              </w:rPr>
              <w:t>HTCM–RLLA (2 factor)</w:t>
            </w:r>
          </w:p>
        </w:tc>
        <w:tc>
          <w:tcPr>
            <w:tcW w:type="dxa" w:w="1344"/>
          </w:tcPr>
          <w:p>
            <w:r>
              <w:rPr>
                <w:rFonts w:ascii="Times New Roman" w:hAnsi="Times New Roman"/>
                <w:sz w:val="20"/>
              </w:rPr>
              <w:t>48,008 (8)</w:t>
            </w:r>
          </w:p>
        </w:tc>
        <w:tc>
          <w:tcPr>
            <w:tcW w:type="dxa" w:w="1344"/>
          </w:tcPr>
          <w:p>
            <w:r>
              <w:rPr>
                <w:rFonts w:ascii="Times New Roman" w:hAnsi="Times New Roman"/>
                <w:sz w:val="20"/>
              </w:rPr>
              <w:t>6,001</w:t>
            </w:r>
          </w:p>
        </w:tc>
        <w:tc>
          <w:tcPr>
            <w:tcW w:type="dxa" w:w="1344"/>
          </w:tcPr>
          <w:p>
            <w:r>
              <w:rPr>
                <w:rFonts w:ascii="Times New Roman" w:hAnsi="Times New Roman"/>
                <w:sz w:val="20"/>
              </w:rPr>
              <w:t>0,988</w:t>
            </w:r>
          </w:p>
        </w:tc>
        <w:tc>
          <w:tcPr>
            <w:tcW w:type="dxa" w:w="1344"/>
          </w:tcPr>
          <w:p>
            <w:r>
              <w:rPr>
                <w:rFonts w:ascii="Times New Roman" w:hAnsi="Times New Roman"/>
                <w:sz w:val="20"/>
              </w:rPr>
              <w:t>0,977</w:t>
            </w:r>
          </w:p>
        </w:tc>
        <w:tc>
          <w:tcPr>
            <w:tcW w:type="dxa" w:w="1344"/>
          </w:tcPr>
          <w:p>
            <w:r>
              <w:rPr>
                <w:rFonts w:ascii="Times New Roman" w:hAnsi="Times New Roman"/>
                <w:sz w:val="20"/>
              </w:rPr>
              <w:t>0,061</w:t>
            </w:r>
          </w:p>
        </w:tc>
        <w:tc>
          <w:tcPr>
            <w:tcW w:type="dxa" w:w="1344"/>
          </w:tcPr>
          <w:p>
            <w:r>
              <w:rPr>
                <w:rFonts w:ascii="Times New Roman" w:hAnsi="Times New Roman"/>
                <w:sz w:val="20"/>
              </w:rPr>
              <w:t>0,045–0,078</w:t>
            </w:r>
          </w:p>
        </w:tc>
      </w:tr>
    </w:tbl>
    <w:p>
      <w:pPr>
        <w:ind w:firstLine="567"/>
        <w:jc w:val="both"/>
      </w:pPr>
      <w:r>
        <w:rPr>
          <w:b w:val="0"/>
          <w:i w:val="0"/>
          <w:color w:val="000000"/>
          <w:sz w:val="26"/>
        </w:rPr>
      </w:r>
    </w:p>
    <w:p>
      <w:pPr>
        <w:ind w:firstLine="567"/>
        <w:jc w:val="both"/>
      </w:pPr>
      <w:r>
        <w:rPr>
          <w:b w:val="0"/>
          <w:i w:val="0"/>
          <w:color w:val="000000"/>
          <w:sz w:val="26"/>
        </w:rPr>
        <w:t>Fit TỐT đến XUẤT SẮC: CFI 0,979–0,988 (đều &gt; 0,95); RMSEA 0,040–0,064 (4/5 dưới 0,06; mô hình tổng vượt nhẹ). χ²/df mô hình tổng và 2 factor cao (6,5 và 6,0) — phản ánh độ phức tạp khi tổng hợp 3 dạng RLLA.</w:t>
      </w:r>
    </w:p>
    <w:p>
      <w:r>
        <w:rPr>
          <w:b/>
          <w:color w:val="1F497D"/>
          <w:sz w:val="26"/>
        </w:rPr>
        <w:t>4. Diễn giải Bảng 3.34 — Hệ số tác động HTCM → RLLA</w:t>
      </w:r>
    </w:p>
    <w:p>
      <w:pPr>
        <w:jc w:val="center"/>
      </w:pPr>
      <w:r>
        <w:rPr>
          <w:b/>
          <w:sz w:val="24"/>
        </w:rPr>
        <w:t>Bảng 3. Hệ số tác động HTCM → RLLA (Bảng 3.34)</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r>
              <w:rPr>
                <w:rFonts w:ascii="Times New Roman" w:hAnsi="Times New Roman"/>
                <w:sz w:val="20"/>
              </w:rPr>
              <w:t>Path</w:t>
            </w:r>
          </w:p>
        </w:tc>
        <w:tc>
          <w:tcPr>
            <w:tcW w:type="dxa" w:w="1567"/>
          </w:tcPr>
          <w:p>
            <w:r>
              <w:rPr>
                <w:rFonts w:ascii="Times New Roman" w:hAnsi="Times New Roman"/>
                <w:sz w:val="20"/>
              </w:rPr>
              <w:t>β</w:t>
            </w:r>
          </w:p>
        </w:tc>
        <w:tc>
          <w:tcPr>
            <w:tcW w:type="dxa" w:w="1567"/>
          </w:tcPr>
          <w:p>
            <w:r>
              <w:rPr>
                <w:rFonts w:ascii="Times New Roman" w:hAnsi="Times New Roman"/>
                <w:sz w:val="20"/>
              </w:rPr>
              <w:t>S.E.</w:t>
            </w:r>
          </w:p>
        </w:tc>
        <w:tc>
          <w:tcPr>
            <w:tcW w:type="dxa" w:w="1567"/>
          </w:tcPr>
          <w:p>
            <w:r>
              <w:rPr>
                <w:rFonts w:ascii="Times New Roman" w:hAnsi="Times New Roman"/>
                <w:sz w:val="20"/>
              </w:rPr>
              <w:t>C.R.</w:t>
            </w:r>
          </w:p>
        </w:tc>
        <w:tc>
          <w:tcPr>
            <w:tcW w:type="dxa" w:w="1567"/>
          </w:tcPr>
          <w:p>
            <w:r>
              <w:rPr>
                <w:rFonts w:ascii="Times New Roman" w:hAnsi="Times New Roman"/>
                <w:sz w:val="20"/>
              </w:rPr>
              <w:t>p</w:t>
            </w:r>
          </w:p>
        </w:tc>
        <w:tc>
          <w:tcPr>
            <w:tcW w:type="dxa" w:w="1567"/>
          </w:tcPr>
          <w:p>
            <w:r>
              <w:rPr>
                <w:rFonts w:ascii="Times New Roman" w:hAnsi="Times New Roman"/>
                <w:sz w:val="20"/>
              </w:rPr>
              <w:t>R²</w:t>
            </w:r>
          </w:p>
        </w:tc>
      </w:tr>
      <w:tr>
        <w:tc>
          <w:tcPr>
            <w:tcW w:type="dxa" w:w="1567"/>
          </w:tcPr>
          <w:p>
            <w:r>
              <w:rPr>
                <w:rFonts w:ascii="Times New Roman" w:hAnsi="Times New Roman"/>
                <w:sz w:val="20"/>
              </w:rPr>
              <w:t>HTCM → RLLATQ</w:t>
            </w:r>
          </w:p>
        </w:tc>
        <w:tc>
          <w:tcPr>
            <w:tcW w:type="dxa" w:w="1567"/>
          </w:tcPr>
          <w:p>
            <w:r>
              <w:rPr>
                <w:rFonts w:ascii="Times New Roman" w:hAnsi="Times New Roman"/>
                <w:sz w:val="20"/>
              </w:rPr>
              <w:t>−0,172</w:t>
            </w:r>
          </w:p>
        </w:tc>
        <w:tc>
          <w:tcPr>
            <w:tcW w:type="dxa" w:w="1567"/>
          </w:tcPr>
          <w:p>
            <w:r>
              <w:rPr>
                <w:rFonts w:ascii="Times New Roman" w:hAnsi="Times New Roman"/>
                <w:sz w:val="20"/>
              </w:rPr>
              <w:t>0,021</w:t>
            </w:r>
          </w:p>
        </w:tc>
        <w:tc>
          <w:tcPr>
            <w:tcW w:type="dxa" w:w="1567"/>
          </w:tcPr>
          <w:p>
            <w:r>
              <w:rPr>
                <w:rFonts w:ascii="Times New Roman" w:hAnsi="Times New Roman"/>
                <w:sz w:val="20"/>
              </w:rPr>
              <w:t>−5,299</w:t>
            </w:r>
          </w:p>
        </w:tc>
        <w:tc>
          <w:tcPr>
            <w:tcW w:type="dxa" w:w="1567"/>
          </w:tcPr>
          <w:p>
            <w:r>
              <w:rPr>
                <w:rFonts w:ascii="Times New Roman" w:hAnsi="Times New Roman"/>
                <w:sz w:val="20"/>
              </w:rPr>
              <w:t>&lt; 0,001</w:t>
            </w:r>
          </w:p>
        </w:tc>
        <w:tc>
          <w:tcPr>
            <w:tcW w:type="dxa" w:w="1567"/>
          </w:tcPr>
          <w:p>
            <w:r>
              <w:rPr>
                <w:rFonts w:ascii="Times New Roman" w:hAnsi="Times New Roman"/>
                <w:sz w:val="20"/>
              </w:rPr>
              <w:t>—</w:t>
            </w:r>
          </w:p>
        </w:tc>
      </w:tr>
      <w:tr>
        <w:tc>
          <w:tcPr>
            <w:tcW w:type="dxa" w:w="1567"/>
          </w:tcPr>
          <w:p>
            <w:r>
              <w:rPr>
                <w:rFonts w:ascii="Times New Roman" w:hAnsi="Times New Roman"/>
                <w:sz w:val="20"/>
              </w:rPr>
              <w:t>HTCM → RLLACL</w:t>
            </w:r>
          </w:p>
        </w:tc>
        <w:tc>
          <w:tcPr>
            <w:tcW w:type="dxa" w:w="1567"/>
          </w:tcPr>
          <w:p>
            <w:r>
              <w:rPr>
                <w:rFonts w:ascii="Times New Roman" w:hAnsi="Times New Roman"/>
                <w:sz w:val="20"/>
              </w:rPr>
              <w:t>0,000</w:t>
            </w:r>
          </w:p>
        </w:tc>
        <w:tc>
          <w:tcPr>
            <w:tcW w:type="dxa" w:w="1567"/>
          </w:tcPr>
          <w:p>
            <w:r>
              <w:rPr>
                <w:rFonts w:ascii="Times New Roman" w:hAnsi="Times New Roman"/>
                <w:sz w:val="20"/>
              </w:rPr>
              <w:t>0,022</w:t>
            </w:r>
          </w:p>
        </w:tc>
        <w:tc>
          <w:tcPr>
            <w:tcW w:type="dxa" w:w="1567"/>
          </w:tcPr>
          <w:p>
            <w:r>
              <w:rPr>
                <w:rFonts w:ascii="Times New Roman" w:hAnsi="Times New Roman"/>
                <w:sz w:val="20"/>
              </w:rPr>
              <w:t>−0,003</w:t>
            </w:r>
          </w:p>
        </w:tc>
        <w:tc>
          <w:tcPr>
            <w:tcW w:type="dxa" w:w="1567"/>
          </w:tcPr>
          <w:p>
            <w:r>
              <w:rPr>
                <w:rFonts w:ascii="Times New Roman" w:hAnsi="Times New Roman"/>
                <w:sz w:val="20"/>
              </w:rPr>
              <w:t>0,997</w:t>
            </w:r>
          </w:p>
        </w:tc>
        <w:tc>
          <w:tcPr>
            <w:tcW w:type="dxa" w:w="1567"/>
          </w:tcPr>
          <w:p>
            <w:r>
              <w:rPr>
                <w:rFonts w:ascii="Times New Roman" w:hAnsi="Times New Roman"/>
                <w:sz w:val="20"/>
              </w:rPr>
              <w:t>— (NS)</w:t>
            </w:r>
          </w:p>
        </w:tc>
      </w:tr>
      <w:tr>
        <w:tc>
          <w:tcPr>
            <w:tcW w:type="dxa" w:w="1567"/>
          </w:tcPr>
          <w:p>
            <w:r>
              <w:rPr>
                <w:rFonts w:ascii="Times New Roman" w:hAnsi="Times New Roman"/>
                <w:sz w:val="20"/>
              </w:rPr>
              <w:t>HTCM → RLLAXH</w:t>
            </w:r>
          </w:p>
        </w:tc>
        <w:tc>
          <w:tcPr>
            <w:tcW w:type="dxa" w:w="1567"/>
          </w:tcPr>
          <w:p>
            <w:r>
              <w:rPr>
                <w:rFonts w:ascii="Times New Roman" w:hAnsi="Times New Roman"/>
                <w:sz w:val="20"/>
              </w:rPr>
              <w:t>−0,273</w:t>
            </w:r>
          </w:p>
        </w:tc>
        <w:tc>
          <w:tcPr>
            <w:tcW w:type="dxa" w:w="1567"/>
          </w:tcPr>
          <w:p>
            <w:r>
              <w:rPr>
                <w:rFonts w:ascii="Times New Roman" w:hAnsi="Times New Roman"/>
                <w:sz w:val="20"/>
              </w:rPr>
              <w:t>0,022</w:t>
            </w:r>
          </w:p>
        </w:tc>
        <w:tc>
          <w:tcPr>
            <w:tcW w:type="dxa" w:w="1567"/>
          </w:tcPr>
          <w:p>
            <w:r>
              <w:rPr>
                <w:rFonts w:ascii="Times New Roman" w:hAnsi="Times New Roman"/>
                <w:sz w:val="20"/>
              </w:rPr>
              <w:t>−7,896</w:t>
            </w:r>
          </w:p>
        </w:tc>
        <w:tc>
          <w:tcPr>
            <w:tcW w:type="dxa" w:w="1567"/>
          </w:tcPr>
          <w:p>
            <w:r>
              <w:rPr>
                <w:rFonts w:ascii="Times New Roman" w:hAnsi="Times New Roman"/>
                <w:sz w:val="20"/>
              </w:rPr>
              <w:t>&lt; 0,001</w:t>
            </w:r>
          </w:p>
        </w:tc>
        <w:tc>
          <w:tcPr>
            <w:tcW w:type="dxa" w:w="1567"/>
          </w:tcPr>
          <w:p>
            <w:r>
              <w:rPr>
                <w:rFonts w:ascii="Times New Roman" w:hAnsi="Times New Roman"/>
                <w:sz w:val="20"/>
              </w:rPr>
              <w:t>—</w:t>
            </w:r>
          </w:p>
        </w:tc>
      </w:tr>
      <w:tr>
        <w:tc>
          <w:tcPr>
            <w:tcW w:type="dxa" w:w="1567"/>
          </w:tcPr>
          <w:p>
            <w:r>
              <w:rPr>
                <w:rFonts w:ascii="Times New Roman" w:hAnsi="Times New Roman"/>
                <w:sz w:val="20"/>
              </w:rPr>
              <w:t>HTCM → RLLA</w:t>
            </w:r>
          </w:p>
        </w:tc>
        <w:tc>
          <w:tcPr>
            <w:tcW w:type="dxa" w:w="1567"/>
          </w:tcPr>
          <w:p>
            <w:r>
              <w:rPr>
                <w:rFonts w:ascii="Times New Roman" w:hAnsi="Times New Roman"/>
                <w:sz w:val="20"/>
              </w:rPr>
              <w:t>−0,234</w:t>
            </w:r>
          </w:p>
        </w:tc>
        <w:tc>
          <w:tcPr>
            <w:tcW w:type="dxa" w:w="1567"/>
          </w:tcPr>
          <w:p>
            <w:r>
              <w:rPr>
                <w:rFonts w:ascii="Times New Roman" w:hAnsi="Times New Roman"/>
                <w:sz w:val="20"/>
              </w:rPr>
              <w:t>0,123</w:t>
            </w:r>
          </w:p>
        </w:tc>
        <w:tc>
          <w:tcPr>
            <w:tcW w:type="dxa" w:w="1567"/>
          </w:tcPr>
          <w:p>
            <w:r>
              <w:rPr>
                <w:rFonts w:ascii="Times New Roman" w:hAnsi="Times New Roman"/>
                <w:sz w:val="20"/>
              </w:rPr>
              <w:t>−7,035</w:t>
            </w:r>
          </w:p>
        </w:tc>
        <w:tc>
          <w:tcPr>
            <w:tcW w:type="dxa" w:w="1567"/>
          </w:tcPr>
          <w:p>
            <w:r>
              <w:rPr>
                <w:rFonts w:ascii="Times New Roman" w:hAnsi="Times New Roman"/>
                <w:sz w:val="20"/>
              </w:rPr>
              <w:t>&lt; 0,001</w:t>
            </w:r>
          </w:p>
        </w:tc>
        <w:tc>
          <w:tcPr>
            <w:tcW w:type="dxa" w:w="1567"/>
          </w:tcPr>
          <w:p>
            <w:r>
              <w:rPr>
                <w:rFonts w:ascii="Times New Roman" w:hAnsi="Times New Roman"/>
                <w:sz w:val="20"/>
              </w:rPr>
              <w:t>0,055</w:t>
            </w:r>
          </w:p>
        </w:tc>
      </w:tr>
      <w:tr>
        <w:tc>
          <w:tcPr>
            <w:tcW w:type="dxa" w:w="1567"/>
          </w:tcPr>
          <w:p>
            <w:r>
              <w:rPr>
                <w:rFonts w:ascii="Times New Roman" w:hAnsi="Times New Roman"/>
                <w:sz w:val="20"/>
              </w:rPr>
              <w:t>HTCM → RLLA (2 factor)</w:t>
            </w:r>
          </w:p>
        </w:tc>
        <w:tc>
          <w:tcPr>
            <w:tcW w:type="dxa" w:w="1567"/>
          </w:tcPr>
          <w:p>
            <w:r>
              <w:rPr>
                <w:rFonts w:ascii="Times New Roman" w:hAnsi="Times New Roman"/>
                <w:sz w:val="20"/>
              </w:rPr>
              <w:t>−0,222</w:t>
            </w:r>
          </w:p>
        </w:tc>
        <w:tc>
          <w:tcPr>
            <w:tcW w:type="dxa" w:w="1567"/>
          </w:tcPr>
          <w:p>
            <w:r>
              <w:rPr>
                <w:rFonts w:ascii="Times New Roman" w:hAnsi="Times New Roman"/>
                <w:sz w:val="20"/>
              </w:rPr>
              <w:t>0,137</w:t>
            </w:r>
          </w:p>
        </w:tc>
        <w:tc>
          <w:tcPr>
            <w:tcW w:type="dxa" w:w="1567"/>
          </w:tcPr>
          <w:p>
            <w:r>
              <w:rPr>
                <w:rFonts w:ascii="Times New Roman" w:hAnsi="Times New Roman"/>
                <w:sz w:val="20"/>
              </w:rPr>
              <w:t>−4,902</w:t>
            </w:r>
          </w:p>
        </w:tc>
        <w:tc>
          <w:tcPr>
            <w:tcW w:type="dxa" w:w="1567"/>
          </w:tcPr>
          <w:p>
            <w:r>
              <w:rPr>
                <w:rFonts w:ascii="Times New Roman" w:hAnsi="Times New Roman"/>
                <w:sz w:val="20"/>
              </w:rPr>
              <w:t>&lt; 0,001</w:t>
            </w:r>
          </w:p>
        </w:tc>
        <w:tc>
          <w:tcPr>
            <w:tcW w:type="dxa" w:w="1567"/>
          </w:tcPr>
          <w:p>
            <w:r>
              <w:rPr>
                <w:rFonts w:ascii="Times New Roman" w:hAnsi="Times New Roman"/>
                <w:sz w:val="20"/>
              </w:rPr>
              <w:t>0,049</w:t>
            </w:r>
          </w:p>
        </w:tc>
      </w:tr>
    </w:tbl>
    <w:p>
      <w:pPr>
        <w:ind w:firstLine="567"/>
        <w:jc w:val="both"/>
      </w:pPr>
      <w:r>
        <w:rPr>
          <w:b w:val="0"/>
          <w:i w:val="0"/>
          <w:color w:val="000000"/>
          <w:sz w:val="26"/>
        </w:rPr>
      </w:r>
    </w:p>
    <w:p>
      <w:r>
        <w:rPr>
          <w:b/>
          <w:color w:val="1F497D"/>
          <w:sz w:val="26"/>
        </w:rPr>
        <w:t>Diễn giải:</w:t>
      </w:r>
    </w:p>
    <w:p>
      <w:pPr>
        <w:ind w:firstLine="567"/>
        <w:jc w:val="both"/>
      </w:pPr>
      <w:r>
        <w:rPr>
          <w:b w:val="0"/>
          <w:i w:val="0"/>
          <w:color w:val="000000"/>
          <w:sz w:val="26"/>
        </w:rPr>
        <w:t>HTCM → RLLATQ: β = −0,172 (p &lt; 0,001) — tác động bảo vệ NHỎ–TRUNG BÌNH. Hỗ trợ cha mẹ tốt → ít lo âu tổng quát hơn.</w:t>
      </w:r>
    </w:p>
    <w:p>
      <w:pPr>
        <w:ind w:firstLine="567"/>
        <w:jc w:val="both"/>
      </w:pPr>
      <w:r>
        <w:rPr>
          <w:b w:val="0"/>
          <w:i w:val="0"/>
          <w:color w:val="000000"/>
          <w:sz w:val="26"/>
        </w:rPr>
        <w:t>HTCM → RLLACL: β = 0,000 (p = 0,997) — TUYỆT ĐỐI KHÔNG có tác động! Đây là phát hiện ĐẶC BIỆT — TRÁI với kỳ vọng thông thường rằng "có hỗ trợ cha mẹ tốt thì giảm lo âu chia ly". Có thể giải thích: học sinh THCS Việt Nam dù có hỗ trợ cha mẹ tốt vẫn có thể mắc lo âu chia ly do đặc thù gắn bó văn hóa Á (không tách khỏi gia đình sớm như phương Tây).</w:t>
      </w:r>
    </w:p>
    <w:p>
      <w:pPr>
        <w:ind w:firstLine="567"/>
        <w:jc w:val="both"/>
      </w:pPr>
      <w:r>
        <w:rPr>
          <w:b w:val="0"/>
          <w:i w:val="0"/>
          <w:color w:val="000000"/>
          <w:sz w:val="26"/>
        </w:rPr>
        <w:t>HTCM → RLLAXH: β = −0,273 (p &lt; 0,001) — tác động BẢO VỆ MẠNH NHẤT trong ba dạng. Cha mẹ hỗ trợ tốt → giảm lo âu xã hội. Cơ chế: cha mẹ là người tạo "nền tảng an toàn" cho học sinh thử nghiệm tương tác xã hội.</w:t>
      </w:r>
    </w:p>
    <w:p>
      <w:pPr>
        <w:ind w:firstLine="567"/>
        <w:jc w:val="both"/>
      </w:pPr>
      <w:r>
        <w:rPr>
          <w:b w:val="0"/>
          <w:i w:val="0"/>
          <w:color w:val="000000"/>
          <w:sz w:val="26"/>
        </w:rPr>
        <w:t>HTCM → RLLA tổng: β = −0,234; R² = 5,5% — cường độ TRUNG BÌNH–CAO so với các YTBV khác (lớn hơn GBTH với β = −0,155).</w:t>
      </w:r>
    </w:p>
    <w:p>
      <w:r>
        <w:rPr>
          <w:b/>
          <w:color w:val="1F497D"/>
          <w:sz w:val="26"/>
        </w:rPr>
        <w:t>5. Phát hiện đặc biệt</w:t>
      </w:r>
    </w:p>
    <w:p>
      <w:pPr>
        <w:ind w:firstLine="567"/>
        <w:jc w:val="both"/>
      </w:pPr>
      <w:r>
        <w:rPr>
          <w:b w:val="0"/>
          <w:i w:val="0"/>
          <w:color w:val="000000"/>
          <w:sz w:val="26"/>
        </w:rPr>
        <w:t>Phát hiện CRITICAL: HTCM → RLLACL có β = 0,000 — KHÔNG có tác động bảo vệ với lo âu chia ly. Pattern này TRÁI với kỳ vọng và TRÁI với pattern phương Tây. Cần phản biện riêng: có thể HTCM ở Việt Nam củng cố sự gắn bó với cha mẹ → khó tách khỏi cha mẹ → KHÔNG giảm lo âu chia ly mà còn có thể duy trì.</w:t>
      </w:r>
    </w:p>
    <w:p>
      <w:pPr>
        <w:ind w:firstLine="567"/>
        <w:jc w:val="both"/>
      </w:pPr>
      <w:r>
        <w:rPr>
          <w:b w:val="0"/>
          <w:i w:val="0"/>
          <w:color w:val="000000"/>
          <w:sz w:val="26"/>
        </w:rPr>
        <w:t>Hỗ trợ cảm xúc &lt; hỗ trợ thực tế: MSPSS.8 (nói chuyện về vấn đề) có ĐTB chỉ 47,54 trong khi các mục về giúp đỡ thực tế có ĐTB &gt; 57. Cha mẹ Việt Nam giỏi HỖ TRỢ THỰC TẾ nhưng yếu về GIAO TIẾP CẢM XÚC. Phù hợp phát hiện Phạm 2024 (VN003): chăm sóc cảm xúc β = −0,40 mạnh hơn chăm sóc thể chất.</w:t>
      </w:r>
    </w:p>
    <w:p>
      <w:r>
        <w:rPr>
          <w:b/>
          <w:color w:val="1F497D"/>
          <w:sz w:val="26"/>
        </w:rPr>
        <w:t>6. CÂU TRẢ LỜI</w:t>
      </w:r>
    </w:p>
    <w:p>
      <w:pPr>
        <w:jc w:val="both"/>
      </w:pPr>
      <w:r>
        <w:rPr>
          <w:b/>
          <w:i w:val="0"/>
          <w:color w:val="0070C0"/>
          <w:sz w:val="24"/>
        </w:rPr>
        <w:t>Diễn giải HTCM (hỗ trợ cha mẹ):</w:t>
      </w:r>
    </w:p>
    <w:p>
      <w:pPr>
        <w:jc w:val="both"/>
      </w:pPr>
      <w:r>
        <w:rPr>
          <w:b w:val="0"/>
          <w:i w:val="0"/>
          <w:color w:val="0070C0"/>
          <w:sz w:val="24"/>
        </w:rPr>
        <w:t>(1) ĐTB = 57,65 — CAO NHẤT trong YTBV. Gia đình giúp đỡ (MSPSS.3) cao nhất 65,48; nói chuyện về vấn đề (MSPSS.8) thấp nhất 47,54.</w:t>
      </w:r>
    </w:p>
    <w:p>
      <w:pPr>
        <w:jc w:val="both"/>
      </w:pPr>
      <w:r>
        <w:rPr>
          <w:b w:val="0"/>
          <w:i w:val="0"/>
          <w:color w:val="0070C0"/>
          <w:sz w:val="24"/>
        </w:rPr>
        <w:t>(2) Fit TỐT: CFI 0,979–0,988; RMSEA 0,040–0,064.</w:t>
      </w:r>
    </w:p>
    <w:p>
      <w:pPr>
        <w:jc w:val="both"/>
      </w:pPr>
      <w:r>
        <w:rPr>
          <w:b w:val="0"/>
          <w:i w:val="0"/>
          <w:color w:val="0070C0"/>
          <w:sz w:val="24"/>
        </w:rPr>
        <w:t>(3) β HTCM → RLLATQ = −0,172 (p &lt; 0,001) NHỎ; β → RLLACL = 0,000 (p = 0,997 — KHÔNG có tác động!); β → RLLAXH = −0,273 (p &lt; 0,001) MẠNH NHẤT. R² tổng = 5,5%.</w:t>
      </w:r>
    </w:p>
    <w:p>
      <w:pPr>
        <w:jc w:val="both"/>
      </w:pPr>
      <w:r>
        <w:rPr>
          <w:b w:val="0"/>
          <w:i w:val="0"/>
          <w:color w:val="0070C0"/>
          <w:sz w:val="24"/>
        </w:rPr>
        <w:t>(4) Phát hiện ĐẶC BIỆT: HTCM KHÔNG có tác động cho lo âu chia ly — có thể do văn hóa Á gắn bó gia đình mạnh.</w:t>
      </w:r>
    </w:p>
    <w:p>
      <w:r>
        <w:rPr>
          <w:b/>
          <w:color w:val="1F497D"/>
          <w:sz w:val="26"/>
        </w:rPr>
        <w:t>7. Tài liệu tham khảo</w:t>
      </w:r>
    </w:p>
    <w:p>
      <w:pPr>
        <w:ind w:left="567" w:hanging="567"/>
        <w:jc w:val="both"/>
      </w:pPr>
      <w:r>
        <w:rPr>
          <w:sz w:val="24"/>
        </w:rPr>
        <w:t>Hu, L., &amp; Bentler, P. M. (1999). Cutoff criteria for fit indexes in covariance structure analysis. Structural Equation Modeling, 6(1), 1–55. https://doi.org/10.1080/10705519909540118</w:t>
      </w:r>
    </w:p>
    <w:p>
      <w:pPr>
        <w:ind w:left="567" w:hanging="567"/>
        <w:jc w:val="both"/>
      </w:pPr>
      <w:r>
        <w:rPr>
          <w:sz w:val="24"/>
        </w:rPr>
        <w:t>Pham, S. T., Duong, T. T. T., Nguyen, H. P. T., &amp; Truong, X. N. T. (2024). The correlation between quality of care and mental health and behavioral problems among Vietnamese adolescents in social support facilities. [VN003 trong cơ sở dữ liệu dự án.]</w:t>
      </w:r>
    </w:p>
    <w:p>
      <w:pPr>
        <w:ind w:left="567" w:hanging="567"/>
        <w:jc w:val="both"/>
      </w:pPr>
      <w:r>
        <w:rPr>
          <w:sz w:val="24"/>
        </w:rPr>
        <w:t>Zimet, G. D., Dahlem, N. W., Zimet, S. G., &amp; Farley, G. K. (1988). The Multidimensional Scale of Perceived Social Support. Journal of Personality Assessment, 52(1), 30–41.</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