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DIỄN GIẢI YẾU TỐ LỚN — YTNC TỔNG, YTBV TỔNG</w:t>
        <w:br/>
        <w:t>VÀ MÔ HÌNH TÍCH HỢP</w:t>
        <w:br/>
        <w:t>— Bảng 3.37–3.42 chương 3 luận án —</w:t>
      </w:r>
    </w:p>
    <w:p>
      <w:pPr>
        <w:ind w:firstLine="567"/>
        <w:jc w:val="both"/>
      </w:pPr>
      <w:r>
        <w:rPr>
          <w:b w:val="0"/>
          <w:i w:val="0"/>
          <w:color w:val="000000"/>
          <w:sz w:val="26"/>
        </w:rPr>
      </w:r>
    </w:p>
    <w:p>
      <w:r>
        <w:rPr>
          <w:b/>
          <w:color w:val="1F497D"/>
          <w:sz w:val="26"/>
        </w:rPr>
        <w:t>1. Phân biệt yếu tố LỚN và yếu tố NHỎ</w:t>
      </w:r>
    </w:p>
    <w:p>
      <w:pPr>
        <w:jc w:val="both"/>
      </w:pPr>
      <w:r>
        <w:rPr>
          <w:b w:val="0"/>
          <w:i w:val="0"/>
          <w:color w:val="000000"/>
          <w:sz w:val="26"/>
        </w:rPr>
        <w:t>Trong chương 3 luận án, các yếu tố ảnh hưởng đến rối loạn lo âu được phân thành HAI CẤP độ phân tích: cấp YẾU TỐ LỚN và cấp YẾU TỐ NHỎ.</w:t>
      </w:r>
    </w:p>
    <w:p>
      <w:pPr>
        <w:jc w:val="center"/>
      </w:pPr>
      <w:r>
        <w:rPr>
          <w:b/>
          <w:sz w:val="24"/>
        </w:rPr>
        <w:t>Bảng 1. Phân cấp yếu tố ảnh hưởng đến RLLA trong chương 3</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Cấp</w:t>
            </w:r>
          </w:p>
        </w:tc>
        <w:tc>
          <w:tcPr>
            <w:tcW w:type="dxa" w:w="2351"/>
          </w:tcPr>
          <w:p>
            <w:r>
              <w:rPr>
                <w:rFonts w:ascii="Times New Roman" w:hAnsi="Times New Roman"/>
                <w:sz w:val="20"/>
              </w:rPr>
              <w:t>Yếu tố LỚN</w:t>
            </w:r>
          </w:p>
        </w:tc>
        <w:tc>
          <w:tcPr>
            <w:tcW w:type="dxa" w:w="2351"/>
          </w:tcPr>
          <w:p>
            <w:r>
              <w:rPr>
                <w:rFonts w:ascii="Times New Roman" w:hAnsi="Times New Roman"/>
                <w:sz w:val="20"/>
              </w:rPr>
              <w:t>Yếu tố NHỎ (sub-factors)</w:t>
            </w:r>
          </w:p>
        </w:tc>
        <w:tc>
          <w:tcPr>
            <w:tcW w:type="dxa" w:w="2351"/>
          </w:tcPr>
          <w:p>
            <w:r>
              <w:rPr>
                <w:rFonts w:ascii="Times New Roman" w:hAnsi="Times New Roman"/>
                <w:sz w:val="20"/>
              </w:rPr>
              <w:t>Bảng tham chiếu</w:t>
            </w:r>
          </w:p>
        </w:tc>
      </w:tr>
      <w:tr>
        <w:tc>
          <w:tcPr>
            <w:tcW w:type="dxa" w:w="2351"/>
          </w:tcPr>
          <w:p>
            <w:r>
              <w:rPr>
                <w:rFonts w:ascii="Times New Roman" w:hAnsi="Times New Roman"/>
                <w:sz w:val="20"/>
              </w:rPr>
              <w:t>Cấp 1</w:t>
            </w:r>
          </w:p>
        </w:tc>
        <w:tc>
          <w:tcPr>
            <w:tcW w:type="dxa" w:w="2351"/>
          </w:tcPr>
          <w:p>
            <w:r>
              <w:rPr>
                <w:rFonts w:ascii="Times New Roman" w:hAnsi="Times New Roman"/>
                <w:sz w:val="20"/>
              </w:rPr>
              <w:t>YTNC — Yếu tố Nguy cơ tổng</w:t>
            </w:r>
          </w:p>
        </w:tc>
        <w:tc>
          <w:tcPr>
            <w:tcW w:type="dxa" w:w="2351"/>
          </w:tcPr>
          <w:p>
            <w:r>
              <w:rPr>
                <w:rFonts w:ascii="Times New Roman" w:hAnsi="Times New Roman"/>
                <w:sz w:val="20"/>
              </w:rPr>
              <w:t>ALHT (áp lực học tập) + NĐT (nghiện điện thoại) + BNHĐ (bắt nạt học đường)</w:t>
            </w:r>
          </w:p>
        </w:tc>
        <w:tc>
          <w:tcPr>
            <w:tcW w:type="dxa" w:w="2351"/>
          </w:tcPr>
          <w:p>
            <w:r>
              <w:rPr>
                <w:rFonts w:ascii="Times New Roman" w:hAnsi="Times New Roman"/>
                <w:sz w:val="20"/>
              </w:rPr>
              <w:t>3.21, 3.39, 3.40</w:t>
            </w:r>
          </w:p>
        </w:tc>
      </w:tr>
      <w:tr>
        <w:tc>
          <w:tcPr>
            <w:tcW w:type="dxa" w:w="2351"/>
          </w:tcPr>
          <w:p>
            <w:r>
              <w:rPr>
                <w:rFonts w:ascii="Times New Roman" w:hAnsi="Times New Roman"/>
                <w:sz w:val="20"/>
              </w:rPr>
              <w:t>Cấp 1</w:t>
            </w:r>
          </w:p>
        </w:tc>
        <w:tc>
          <w:tcPr>
            <w:tcW w:type="dxa" w:w="2351"/>
          </w:tcPr>
          <w:p>
            <w:r>
              <w:rPr>
                <w:rFonts w:ascii="Times New Roman" w:hAnsi="Times New Roman"/>
                <w:sz w:val="20"/>
              </w:rPr>
              <w:t>YTBV — Yếu tố Bảo vệ tổng</w:t>
            </w:r>
          </w:p>
        </w:tc>
        <w:tc>
          <w:tcPr>
            <w:tcW w:type="dxa" w:w="2351"/>
          </w:tcPr>
          <w:p>
            <w:r>
              <w:rPr>
                <w:rFonts w:ascii="Times New Roman" w:hAnsi="Times New Roman"/>
                <w:sz w:val="20"/>
              </w:rPr>
              <w:t>GBTH (gắn bó trường học) + TTr (tự trọng) + HTCM (hỗ trợ cha mẹ) + HTBB (hỗ trợ bạn bè)</w:t>
            </w:r>
          </w:p>
        </w:tc>
        <w:tc>
          <w:tcPr>
            <w:tcW w:type="dxa" w:w="2351"/>
          </w:tcPr>
          <w:p>
            <w:r>
              <w:rPr>
                <w:rFonts w:ascii="Times New Roman" w:hAnsi="Times New Roman"/>
                <w:sz w:val="20"/>
              </w:rPr>
              <w:t>3.22, 3.41, 3.42</w:t>
            </w:r>
          </w:p>
        </w:tc>
      </w:tr>
      <w:tr>
        <w:tc>
          <w:tcPr>
            <w:tcW w:type="dxa" w:w="2351"/>
          </w:tcPr>
          <w:p>
            <w:r>
              <w:rPr>
                <w:rFonts w:ascii="Times New Roman" w:hAnsi="Times New Roman"/>
                <w:sz w:val="20"/>
              </w:rPr>
              <w:t>Cấp 0</w:t>
            </w:r>
          </w:p>
        </w:tc>
        <w:tc>
          <w:tcPr>
            <w:tcW w:type="dxa" w:w="2351"/>
          </w:tcPr>
          <w:p>
            <w:r>
              <w:rPr>
                <w:rFonts w:ascii="Times New Roman" w:hAnsi="Times New Roman"/>
                <w:sz w:val="20"/>
              </w:rPr>
              <w:t>Mô hình TÍCH HỢP YTNC + YTBV</w:t>
            </w:r>
          </w:p>
        </w:tc>
        <w:tc>
          <w:tcPr>
            <w:tcW w:type="dxa" w:w="2351"/>
          </w:tcPr>
          <w:p>
            <w:r>
              <w:rPr>
                <w:rFonts w:ascii="Times New Roman" w:hAnsi="Times New Roman"/>
                <w:sz w:val="20"/>
              </w:rPr>
              <w:t>Cả hai cấu phần lớn cùng dự báo RLLA</w:t>
            </w:r>
          </w:p>
        </w:tc>
        <w:tc>
          <w:tcPr>
            <w:tcW w:type="dxa" w:w="2351"/>
          </w:tcPr>
          <w:p>
            <w:r>
              <w:rPr>
                <w:rFonts w:ascii="Times New Roman" w:hAnsi="Times New Roman"/>
                <w:sz w:val="20"/>
              </w:rPr>
              <w:t>3.37, 3.38</w:t>
            </w:r>
          </w:p>
        </w:tc>
      </w:tr>
      <w:tr>
        <w:tc>
          <w:tcPr>
            <w:tcW w:type="dxa" w:w="2351"/>
          </w:tcPr>
          <w:p>
            <w:r>
              <w:rPr>
                <w:rFonts w:ascii="Times New Roman" w:hAnsi="Times New Roman"/>
                <w:sz w:val="20"/>
              </w:rPr>
              <w:t>Cấp 1 riêng</w:t>
            </w:r>
          </w:p>
        </w:tc>
        <w:tc>
          <w:tcPr>
            <w:tcW w:type="dxa" w:w="2351"/>
          </w:tcPr>
          <w:p>
            <w:r>
              <w:rPr>
                <w:rFonts w:ascii="Times New Roman" w:hAnsi="Times New Roman"/>
                <w:sz w:val="20"/>
              </w:rPr>
              <w:t>BPĐP — Biện pháp đối phó</w:t>
            </w:r>
          </w:p>
        </w:tc>
        <w:tc>
          <w:tcPr>
            <w:tcW w:type="dxa" w:w="2351"/>
          </w:tcPr>
          <w:p>
            <w:r>
              <w:rPr>
                <w:rFonts w:ascii="Times New Roman" w:hAnsi="Times New Roman"/>
                <w:sz w:val="20"/>
              </w:rPr>
              <w:t>Tránh né + giải quyết vấn đề + tìm kiếm hỗ trợ</w:t>
            </w:r>
          </w:p>
        </w:tc>
        <w:tc>
          <w:tcPr>
            <w:tcW w:type="dxa" w:w="2351"/>
          </w:tcPr>
          <w:p>
            <w:r>
              <w:rPr>
                <w:rFonts w:ascii="Times New Roman" w:hAnsi="Times New Roman"/>
                <w:sz w:val="20"/>
              </w:rPr>
              <w:t>3.43, 3.44, 3.45</w:t>
            </w:r>
          </w:p>
        </w:tc>
      </w:tr>
    </w:tbl>
    <w:p>
      <w:pPr>
        <w:ind w:firstLine="567"/>
        <w:jc w:val="both"/>
      </w:pPr>
      <w:r>
        <w:rPr>
          <w:b w:val="0"/>
          <w:i w:val="0"/>
          <w:color w:val="000000"/>
          <w:sz w:val="26"/>
        </w:rPr>
      </w:r>
    </w:p>
    <w:p>
      <w:pPr>
        <w:ind w:firstLine="567"/>
        <w:jc w:val="both"/>
      </w:pPr>
      <w:r>
        <w:rPr>
          <w:b w:val="0"/>
          <w:i w:val="0"/>
          <w:color w:val="000000"/>
          <w:sz w:val="26"/>
        </w:rPr>
        <w:t>Áp lực học tập, bắt nạt học đường, tự trọng... ĐỀU LÀ yếu tố nhỏ thuộc YTNC hoặc YTBV. Doc này diễn giải CẤP YẾU TỐ LỚN — tức tổng hợp các sub-factors thành biến tiềm ẩn YTNC và YTBV, sau đó phân tích tác động đến RLLA.</w:t>
      </w:r>
    </w:p>
    <w:p>
      <w:pPr>
        <w:ind w:firstLine="567"/>
        <w:jc w:val="both"/>
      </w:pPr>
      <w:r>
        <w:rPr>
          <w:b w:val="0"/>
          <w:i w:val="0"/>
          <w:color w:val="000000"/>
          <w:sz w:val="26"/>
        </w:rPr>
        <w:t>Lưu ý quan trọng: cấp yếu tố LỚN có ý nghĩa lý thuyết khác với cấp NHỎ. Khi yếu tố nhỏ ALHT có β = 0,510 với RLLATQ — đó là tác động RIÊNG của áp lực học tập. Khi YTNC tổng có β = 0,669 với RLLA — đó là tác động TỔNG HỢP của ba yếu tố nhỏ qua biến tiềm ẩn YTNC. Hai cấp KHÔNG tương đương.</w:t>
      </w:r>
    </w:p>
    <w:p>
      <w:r>
        <w:rPr>
          <w:b/>
          <w:color w:val="1F497D"/>
          <w:sz w:val="26"/>
        </w:rPr>
        <w:t>2. Diễn giải Bảng 3.39–3.40 — YTNC riêng tác động đến RLLA</w:t>
      </w:r>
    </w:p>
    <w:p>
      <w:pPr>
        <w:jc w:val="center"/>
      </w:pPr>
      <w:r>
        <w:rPr>
          <w:b/>
          <w:sz w:val="24"/>
        </w:rPr>
        <w:t>Bảng 2. Fit indices mô hình YTNC riêng (Bảng 3.39)</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rFonts w:ascii="Times New Roman" w:hAnsi="Times New Roman"/>
                <w:sz w:val="20"/>
              </w:rPr>
              <w:t>Mô hình</w:t>
            </w:r>
          </w:p>
        </w:tc>
        <w:tc>
          <w:tcPr>
            <w:tcW w:type="dxa" w:w="1344"/>
          </w:tcPr>
          <w:p>
            <w:r>
              <w:rPr>
                <w:rFonts w:ascii="Times New Roman" w:hAnsi="Times New Roman"/>
                <w:sz w:val="20"/>
              </w:rPr>
              <w:t>χ²(df)</w:t>
            </w:r>
          </w:p>
        </w:tc>
        <w:tc>
          <w:tcPr>
            <w:tcW w:type="dxa" w:w="1344"/>
          </w:tcPr>
          <w:p>
            <w:r>
              <w:rPr>
                <w:rFonts w:ascii="Times New Roman" w:hAnsi="Times New Roman"/>
                <w:sz w:val="20"/>
              </w:rPr>
              <w:t>χ²/df</w:t>
            </w:r>
          </w:p>
        </w:tc>
        <w:tc>
          <w:tcPr>
            <w:tcW w:type="dxa" w:w="1344"/>
          </w:tcPr>
          <w:p>
            <w:r>
              <w:rPr>
                <w:rFonts w:ascii="Times New Roman" w:hAnsi="Times New Roman"/>
                <w:sz w:val="20"/>
              </w:rPr>
              <w:t>CFI</w:t>
            </w:r>
          </w:p>
        </w:tc>
        <w:tc>
          <w:tcPr>
            <w:tcW w:type="dxa" w:w="1344"/>
          </w:tcPr>
          <w:p>
            <w:r>
              <w:rPr>
                <w:rFonts w:ascii="Times New Roman" w:hAnsi="Times New Roman"/>
                <w:sz w:val="20"/>
              </w:rPr>
              <w:t>TLI</w:t>
            </w:r>
          </w:p>
        </w:tc>
        <w:tc>
          <w:tcPr>
            <w:tcW w:type="dxa" w:w="1344"/>
          </w:tcPr>
          <w:p>
            <w:r>
              <w:rPr>
                <w:rFonts w:ascii="Times New Roman" w:hAnsi="Times New Roman"/>
                <w:sz w:val="20"/>
              </w:rPr>
              <w:t>RMSEA</w:t>
            </w:r>
          </w:p>
        </w:tc>
        <w:tc>
          <w:tcPr>
            <w:tcW w:type="dxa" w:w="1344"/>
          </w:tcPr>
          <w:p>
            <w:r>
              <w:rPr>
                <w:rFonts w:ascii="Times New Roman" w:hAnsi="Times New Roman"/>
                <w:sz w:val="20"/>
              </w:rPr>
              <w:t>90% CI RMSEA</w:t>
            </w:r>
          </w:p>
        </w:tc>
      </w:tr>
      <w:tr>
        <w:tc>
          <w:tcPr>
            <w:tcW w:type="dxa" w:w="1344"/>
          </w:tcPr>
          <w:p>
            <w:r>
              <w:rPr>
                <w:rFonts w:ascii="Times New Roman" w:hAnsi="Times New Roman"/>
                <w:sz w:val="20"/>
              </w:rPr>
              <w:t>YTNC — RLLA</w:t>
            </w:r>
          </w:p>
        </w:tc>
        <w:tc>
          <w:tcPr>
            <w:tcW w:type="dxa" w:w="1344"/>
          </w:tcPr>
          <w:p>
            <w:r>
              <w:rPr>
                <w:rFonts w:ascii="Times New Roman" w:hAnsi="Times New Roman"/>
                <w:sz w:val="20"/>
              </w:rPr>
              <w:t>12,407 (4)</w:t>
            </w:r>
          </w:p>
        </w:tc>
        <w:tc>
          <w:tcPr>
            <w:tcW w:type="dxa" w:w="1344"/>
          </w:tcPr>
          <w:p>
            <w:r>
              <w:rPr>
                <w:rFonts w:ascii="Times New Roman" w:hAnsi="Times New Roman"/>
                <w:sz w:val="20"/>
              </w:rPr>
              <w:t>3,102</w:t>
            </w:r>
          </w:p>
        </w:tc>
        <w:tc>
          <w:tcPr>
            <w:tcW w:type="dxa" w:w="1344"/>
          </w:tcPr>
          <w:p>
            <w:r>
              <w:rPr>
                <w:rFonts w:ascii="Times New Roman" w:hAnsi="Times New Roman"/>
                <w:sz w:val="20"/>
              </w:rPr>
              <w:t>0,994</w:t>
            </w:r>
          </w:p>
        </w:tc>
        <w:tc>
          <w:tcPr>
            <w:tcW w:type="dxa" w:w="1344"/>
          </w:tcPr>
          <w:p>
            <w:r>
              <w:rPr>
                <w:rFonts w:ascii="Times New Roman" w:hAnsi="Times New Roman"/>
                <w:sz w:val="20"/>
              </w:rPr>
              <w:t>0,986</w:t>
            </w:r>
          </w:p>
        </w:tc>
        <w:tc>
          <w:tcPr>
            <w:tcW w:type="dxa" w:w="1344"/>
          </w:tcPr>
          <w:p>
            <w:r>
              <w:rPr>
                <w:rFonts w:ascii="Times New Roman" w:hAnsi="Times New Roman"/>
                <w:sz w:val="20"/>
              </w:rPr>
              <w:t>0,039</w:t>
            </w:r>
          </w:p>
        </w:tc>
        <w:tc>
          <w:tcPr>
            <w:tcW w:type="dxa" w:w="1344"/>
          </w:tcPr>
          <w:p>
            <w:r>
              <w:rPr>
                <w:rFonts w:ascii="Times New Roman" w:hAnsi="Times New Roman"/>
                <w:sz w:val="20"/>
              </w:rPr>
              <w:t>0,016–0,065</w:t>
            </w:r>
          </w:p>
        </w:tc>
      </w:tr>
    </w:tbl>
    <w:p>
      <w:pPr>
        <w:ind w:firstLine="567"/>
        <w:jc w:val="both"/>
      </w:pPr>
      <w:r>
        <w:rPr>
          <w:b w:val="0"/>
          <w:i w:val="0"/>
          <w:color w:val="000000"/>
          <w:sz w:val="26"/>
        </w:rPr>
      </w:r>
    </w:p>
    <w:p>
      <w:pPr>
        <w:jc w:val="center"/>
      </w:pPr>
      <w:r>
        <w:rPr>
          <w:b/>
          <w:sz w:val="24"/>
        </w:rPr>
        <w:t>Bảng 3. Hệ số tác động YTNC → RLLA (Bảng 3.40)</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rFonts w:ascii="Times New Roman" w:hAnsi="Times New Roman"/>
                <w:sz w:val="20"/>
              </w:rPr>
              <w:t>Mô hình</w:t>
            </w:r>
          </w:p>
        </w:tc>
        <w:tc>
          <w:tcPr>
            <w:tcW w:type="dxa" w:w="1344"/>
          </w:tcPr>
          <w:p>
            <w:r>
              <w:rPr>
                <w:rFonts w:ascii="Times New Roman" w:hAnsi="Times New Roman"/>
                <w:sz w:val="20"/>
              </w:rPr>
              <w:t>Path</w:t>
            </w:r>
          </w:p>
        </w:tc>
        <w:tc>
          <w:tcPr>
            <w:tcW w:type="dxa" w:w="1344"/>
          </w:tcPr>
          <w:p>
            <w:r>
              <w:rPr>
                <w:rFonts w:ascii="Times New Roman" w:hAnsi="Times New Roman"/>
                <w:sz w:val="20"/>
              </w:rPr>
              <w:t>β</w:t>
            </w:r>
          </w:p>
        </w:tc>
        <w:tc>
          <w:tcPr>
            <w:tcW w:type="dxa" w:w="1344"/>
          </w:tcPr>
          <w:p>
            <w:r>
              <w:rPr>
                <w:rFonts w:ascii="Times New Roman" w:hAnsi="Times New Roman"/>
                <w:sz w:val="20"/>
              </w:rPr>
              <w:t>S.E.</w:t>
            </w:r>
          </w:p>
        </w:tc>
        <w:tc>
          <w:tcPr>
            <w:tcW w:type="dxa" w:w="1344"/>
          </w:tcPr>
          <w:p>
            <w:r>
              <w:rPr>
                <w:rFonts w:ascii="Times New Roman" w:hAnsi="Times New Roman"/>
                <w:sz w:val="20"/>
              </w:rPr>
              <w:t>C.R.</w:t>
            </w:r>
          </w:p>
        </w:tc>
        <w:tc>
          <w:tcPr>
            <w:tcW w:type="dxa" w:w="1344"/>
          </w:tcPr>
          <w:p>
            <w:r>
              <w:rPr>
                <w:rFonts w:ascii="Times New Roman" w:hAnsi="Times New Roman"/>
                <w:sz w:val="20"/>
              </w:rPr>
              <w:t>p</w:t>
            </w:r>
          </w:p>
        </w:tc>
        <w:tc>
          <w:tcPr>
            <w:tcW w:type="dxa" w:w="1344"/>
          </w:tcPr>
          <w:p>
            <w:r>
              <w:rPr>
                <w:rFonts w:ascii="Times New Roman" w:hAnsi="Times New Roman"/>
                <w:sz w:val="20"/>
              </w:rPr>
              <w:t>R²</w:t>
            </w:r>
          </w:p>
        </w:tc>
      </w:tr>
      <w:tr>
        <w:tc>
          <w:tcPr>
            <w:tcW w:type="dxa" w:w="1344"/>
          </w:tcPr>
          <w:p>
            <w:r>
              <w:rPr>
                <w:rFonts w:ascii="Times New Roman" w:hAnsi="Times New Roman"/>
                <w:sz w:val="20"/>
              </w:rPr>
              <w:t>1</w:t>
            </w:r>
          </w:p>
        </w:tc>
        <w:tc>
          <w:tcPr>
            <w:tcW w:type="dxa" w:w="1344"/>
          </w:tcPr>
          <w:p>
            <w:r>
              <w:rPr>
                <w:rFonts w:ascii="Times New Roman" w:hAnsi="Times New Roman"/>
                <w:sz w:val="20"/>
              </w:rPr>
              <w:t>YTNC → RLLA</w:t>
            </w:r>
          </w:p>
        </w:tc>
        <w:tc>
          <w:tcPr>
            <w:tcW w:type="dxa" w:w="1344"/>
          </w:tcPr>
          <w:p>
            <w:r>
              <w:rPr>
                <w:rFonts w:ascii="Times New Roman" w:hAnsi="Times New Roman"/>
                <w:sz w:val="20"/>
              </w:rPr>
              <w:t>0,747</w:t>
            </w:r>
          </w:p>
        </w:tc>
        <w:tc>
          <w:tcPr>
            <w:tcW w:type="dxa" w:w="1344"/>
          </w:tcPr>
          <w:p>
            <w:r>
              <w:rPr>
                <w:rFonts w:ascii="Times New Roman" w:hAnsi="Times New Roman"/>
                <w:sz w:val="20"/>
              </w:rPr>
              <w:t>0,168</w:t>
            </w:r>
          </w:p>
        </w:tc>
        <w:tc>
          <w:tcPr>
            <w:tcW w:type="dxa" w:w="1344"/>
          </w:tcPr>
          <w:p>
            <w:r>
              <w:rPr>
                <w:rFonts w:ascii="Times New Roman" w:hAnsi="Times New Roman"/>
                <w:sz w:val="20"/>
              </w:rPr>
              <w:t>10,241</w:t>
            </w:r>
          </w:p>
        </w:tc>
        <w:tc>
          <w:tcPr>
            <w:tcW w:type="dxa" w:w="1344"/>
          </w:tcPr>
          <w:p>
            <w:r>
              <w:rPr>
                <w:rFonts w:ascii="Times New Roman" w:hAnsi="Times New Roman"/>
                <w:sz w:val="20"/>
              </w:rPr>
              <w:t>&lt; 0,001</w:t>
            </w:r>
          </w:p>
        </w:tc>
        <w:tc>
          <w:tcPr>
            <w:tcW w:type="dxa" w:w="1344"/>
          </w:tcPr>
          <w:p>
            <w:r>
              <w:rPr>
                <w:rFonts w:ascii="Times New Roman" w:hAnsi="Times New Roman"/>
                <w:sz w:val="20"/>
              </w:rPr>
              <w:t>0,558</w:t>
            </w:r>
          </w:p>
        </w:tc>
      </w:tr>
    </w:tbl>
    <w:p>
      <w:pPr>
        <w:ind w:firstLine="567"/>
        <w:jc w:val="both"/>
      </w:pPr>
      <w:r>
        <w:rPr>
          <w:b w:val="0"/>
          <w:i w:val="0"/>
          <w:color w:val="000000"/>
          <w:sz w:val="26"/>
        </w:rPr>
      </w:r>
    </w:p>
    <w:p>
      <w:r>
        <w:rPr>
          <w:b/>
          <w:color w:val="1F497D"/>
          <w:sz w:val="26"/>
        </w:rPr>
        <w:t>Diễn giải:</w:t>
      </w:r>
    </w:p>
    <w:p>
      <w:pPr>
        <w:jc w:val="both"/>
      </w:pPr>
      <w:r>
        <w:rPr>
          <w:b w:val="0"/>
          <w:i w:val="0"/>
          <w:color w:val="000000"/>
          <w:sz w:val="26"/>
        </w:rPr>
        <w:t>FIT INDICES — Mô hình YTNC riêng đạt fit XUẤT SẮC: CFI = 0,994 (gần ngưỡng tối đa 1,0); TLI = 0,986; RMSEA = 0,039 với KTC 90% từ 0,016 đến 0,065 — chứa ngưỡng 0,05 cho "good fit" theo Hu &amp; Bentler (1999). χ²/df = 3,102 — gần ngưỡng lý tưởng 3.</w:t>
      </w:r>
    </w:p>
    <w:p>
      <w:pPr>
        <w:ind w:firstLine="567"/>
        <w:jc w:val="both"/>
      </w:pPr>
      <w:r>
        <w:rPr>
          <w:b w:val="0"/>
          <w:i w:val="0"/>
          <w:color w:val="000000"/>
          <w:sz w:val="26"/>
        </w:rPr>
        <w:t>HỆ SỐ TÁC ĐỘNG — β = 0,747. Khi YTNC tổng (gồm ALHT + NĐT + BNHĐ) TĂNG 1 độ lệch chuẩn, RLLA tổng TĂNG 0,747 độ lệch chuẩn. Theo Cohen (1988), |β| &gt; 0,5 thuộc "tác động LỚN" — cường độ này GẦN MỨC TỐI ĐA cho biến tiềm ẩn xã hội. C.R. = 10,241 (vượt xa ngưỡng 1,96 và 2,58); p &lt; 0,001 — CỰC kỳ ý nghĩa thống kê.</w:t>
      </w:r>
    </w:p>
    <w:p>
      <w:pPr>
        <w:ind w:firstLine="567"/>
        <w:jc w:val="both"/>
      </w:pPr>
      <w:r>
        <w:rPr>
          <w:b w:val="0"/>
          <w:i w:val="0"/>
          <w:color w:val="000000"/>
          <w:sz w:val="26"/>
        </w:rPr>
        <w:t>R² = 0,558 — Yếu tố nguy cơ tổng GIẢI THÍCH 55,8% phương sai của RLLA tổng. Theo Cohen (1988): R² &gt; 0,26 thuộc "effect size LỚN" — kết quả VƯỢT XA ngưỡng. Một mình YTNC tổng đã giải thích MỘT NỬA biến thiên của lo âu tổng — phát hiện ĐẶC BIỆT MẠNH.</w:t>
      </w:r>
    </w:p>
    <w:p>
      <w:r>
        <w:rPr>
          <w:b/>
          <w:color w:val="1F497D"/>
          <w:sz w:val="26"/>
        </w:rPr>
        <w:t>3. Diễn giải Bảng 3.41–3.42 — YTBV riêng tác động đến RLLA</w:t>
      </w:r>
    </w:p>
    <w:p>
      <w:pPr>
        <w:jc w:val="center"/>
      </w:pPr>
      <w:r>
        <w:rPr>
          <w:b/>
          <w:sz w:val="24"/>
        </w:rPr>
        <w:t>Bảng 4. Fit indices mô hình YTBV riêng (Bảng 3.41)</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rFonts w:ascii="Times New Roman" w:hAnsi="Times New Roman"/>
                <w:sz w:val="20"/>
              </w:rPr>
              <w:t>Mô hình</w:t>
            </w:r>
          </w:p>
        </w:tc>
        <w:tc>
          <w:tcPr>
            <w:tcW w:type="dxa" w:w="1344"/>
          </w:tcPr>
          <w:p>
            <w:r>
              <w:rPr>
                <w:rFonts w:ascii="Times New Roman" w:hAnsi="Times New Roman"/>
                <w:sz w:val="20"/>
              </w:rPr>
              <w:t>χ²(df)</w:t>
            </w:r>
          </w:p>
        </w:tc>
        <w:tc>
          <w:tcPr>
            <w:tcW w:type="dxa" w:w="1344"/>
          </w:tcPr>
          <w:p>
            <w:r>
              <w:rPr>
                <w:rFonts w:ascii="Times New Roman" w:hAnsi="Times New Roman"/>
                <w:sz w:val="20"/>
              </w:rPr>
              <w:t>χ²/df</w:t>
            </w:r>
          </w:p>
        </w:tc>
        <w:tc>
          <w:tcPr>
            <w:tcW w:type="dxa" w:w="1344"/>
          </w:tcPr>
          <w:p>
            <w:r>
              <w:rPr>
                <w:rFonts w:ascii="Times New Roman" w:hAnsi="Times New Roman"/>
                <w:sz w:val="20"/>
              </w:rPr>
              <w:t>CFI</w:t>
            </w:r>
          </w:p>
        </w:tc>
        <w:tc>
          <w:tcPr>
            <w:tcW w:type="dxa" w:w="1344"/>
          </w:tcPr>
          <w:p>
            <w:r>
              <w:rPr>
                <w:rFonts w:ascii="Times New Roman" w:hAnsi="Times New Roman"/>
                <w:sz w:val="20"/>
              </w:rPr>
              <w:t>TLI</w:t>
            </w:r>
          </w:p>
        </w:tc>
        <w:tc>
          <w:tcPr>
            <w:tcW w:type="dxa" w:w="1344"/>
          </w:tcPr>
          <w:p>
            <w:r>
              <w:rPr>
                <w:rFonts w:ascii="Times New Roman" w:hAnsi="Times New Roman"/>
                <w:sz w:val="20"/>
              </w:rPr>
              <w:t>RMSEA</w:t>
            </w:r>
          </w:p>
        </w:tc>
        <w:tc>
          <w:tcPr>
            <w:tcW w:type="dxa" w:w="1344"/>
          </w:tcPr>
          <w:p>
            <w:r>
              <w:rPr>
                <w:rFonts w:ascii="Times New Roman" w:hAnsi="Times New Roman"/>
                <w:sz w:val="20"/>
              </w:rPr>
              <w:t>90% CI RMSEA</w:t>
            </w:r>
          </w:p>
        </w:tc>
      </w:tr>
      <w:tr>
        <w:tc>
          <w:tcPr>
            <w:tcW w:type="dxa" w:w="1344"/>
          </w:tcPr>
          <w:p>
            <w:r>
              <w:rPr>
                <w:rFonts w:ascii="Times New Roman" w:hAnsi="Times New Roman"/>
                <w:sz w:val="20"/>
              </w:rPr>
              <w:t>YTBV — RLLA</w:t>
            </w:r>
          </w:p>
        </w:tc>
        <w:tc>
          <w:tcPr>
            <w:tcW w:type="dxa" w:w="1344"/>
          </w:tcPr>
          <w:p>
            <w:r>
              <w:rPr>
                <w:rFonts w:ascii="Times New Roman" w:hAnsi="Times New Roman"/>
                <w:sz w:val="20"/>
              </w:rPr>
              <w:t>30,608 (4)</w:t>
            </w:r>
          </w:p>
        </w:tc>
        <w:tc>
          <w:tcPr>
            <w:tcW w:type="dxa" w:w="1344"/>
          </w:tcPr>
          <w:p>
            <w:r>
              <w:rPr>
                <w:rFonts w:ascii="Times New Roman" w:hAnsi="Times New Roman"/>
                <w:sz w:val="20"/>
              </w:rPr>
              <w:t>7,652</w:t>
            </w:r>
          </w:p>
        </w:tc>
        <w:tc>
          <w:tcPr>
            <w:tcW w:type="dxa" w:w="1344"/>
          </w:tcPr>
          <w:p>
            <w:r>
              <w:rPr>
                <w:rFonts w:ascii="Times New Roman" w:hAnsi="Times New Roman"/>
                <w:sz w:val="20"/>
              </w:rPr>
              <w:t>0,982</w:t>
            </w:r>
          </w:p>
        </w:tc>
        <w:tc>
          <w:tcPr>
            <w:tcW w:type="dxa" w:w="1344"/>
          </w:tcPr>
          <w:p>
            <w:r>
              <w:rPr>
                <w:rFonts w:ascii="Times New Roman" w:hAnsi="Times New Roman"/>
                <w:sz w:val="20"/>
              </w:rPr>
              <w:t>0,954</w:t>
            </w:r>
          </w:p>
        </w:tc>
        <w:tc>
          <w:tcPr>
            <w:tcW w:type="dxa" w:w="1344"/>
          </w:tcPr>
          <w:p>
            <w:r>
              <w:rPr>
                <w:rFonts w:ascii="Times New Roman" w:hAnsi="Times New Roman"/>
                <w:sz w:val="20"/>
              </w:rPr>
              <w:t>0,070</w:t>
            </w:r>
          </w:p>
        </w:tc>
        <w:tc>
          <w:tcPr>
            <w:tcW w:type="dxa" w:w="1344"/>
          </w:tcPr>
          <w:p>
            <w:r>
              <w:rPr>
                <w:rFonts w:ascii="Times New Roman" w:hAnsi="Times New Roman"/>
                <w:sz w:val="20"/>
              </w:rPr>
              <w:t>0,048–0,094</w:t>
            </w:r>
          </w:p>
        </w:tc>
      </w:tr>
    </w:tbl>
    <w:p>
      <w:pPr>
        <w:ind w:firstLine="567"/>
        <w:jc w:val="both"/>
      </w:pPr>
      <w:r>
        <w:rPr>
          <w:b w:val="0"/>
          <w:i w:val="0"/>
          <w:color w:val="000000"/>
          <w:sz w:val="26"/>
        </w:rPr>
      </w:r>
    </w:p>
    <w:p>
      <w:pPr>
        <w:jc w:val="center"/>
      </w:pPr>
      <w:r>
        <w:rPr>
          <w:b/>
          <w:sz w:val="24"/>
        </w:rPr>
        <w:t>Bảng 5. Hệ số tác động YTBV → RLLA (Bảng 3.42)</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rFonts w:ascii="Times New Roman" w:hAnsi="Times New Roman"/>
                <w:sz w:val="20"/>
              </w:rPr>
              <w:t>Mô hình</w:t>
            </w:r>
          </w:p>
        </w:tc>
        <w:tc>
          <w:tcPr>
            <w:tcW w:type="dxa" w:w="1344"/>
          </w:tcPr>
          <w:p>
            <w:r>
              <w:rPr>
                <w:rFonts w:ascii="Times New Roman" w:hAnsi="Times New Roman"/>
                <w:sz w:val="20"/>
              </w:rPr>
              <w:t>Path</w:t>
            </w:r>
          </w:p>
        </w:tc>
        <w:tc>
          <w:tcPr>
            <w:tcW w:type="dxa" w:w="1344"/>
          </w:tcPr>
          <w:p>
            <w:r>
              <w:rPr>
                <w:rFonts w:ascii="Times New Roman" w:hAnsi="Times New Roman"/>
                <w:sz w:val="20"/>
              </w:rPr>
              <w:t>β</w:t>
            </w:r>
          </w:p>
        </w:tc>
        <w:tc>
          <w:tcPr>
            <w:tcW w:type="dxa" w:w="1344"/>
          </w:tcPr>
          <w:p>
            <w:r>
              <w:rPr>
                <w:rFonts w:ascii="Times New Roman" w:hAnsi="Times New Roman"/>
                <w:sz w:val="20"/>
              </w:rPr>
              <w:t>S.E.</w:t>
            </w:r>
          </w:p>
        </w:tc>
        <w:tc>
          <w:tcPr>
            <w:tcW w:type="dxa" w:w="1344"/>
          </w:tcPr>
          <w:p>
            <w:r>
              <w:rPr>
                <w:rFonts w:ascii="Times New Roman" w:hAnsi="Times New Roman"/>
                <w:sz w:val="20"/>
              </w:rPr>
              <w:t>C.R.</w:t>
            </w:r>
          </w:p>
        </w:tc>
        <w:tc>
          <w:tcPr>
            <w:tcW w:type="dxa" w:w="1344"/>
          </w:tcPr>
          <w:p>
            <w:r>
              <w:rPr>
                <w:rFonts w:ascii="Times New Roman" w:hAnsi="Times New Roman"/>
                <w:sz w:val="20"/>
              </w:rPr>
              <w:t>p</w:t>
            </w:r>
          </w:p>
        </w:tc>
        <w:tc>
          <w:tcPr>
            <w:tcW w:type="dxa" w:w="1344"/>
          </w:tcPr>
          <w:p>
            <w:r>
              <w:rPr>
                <w:rFonts w:ascii="Times New Roman" w:hAnsi="Times New Roman"/>
                <w:sz w:val="20"/>
              </w:rPr>
              <w:t>R²</w:t>
            </w:r>
          </w:p>
        </w:tc>
      </w:tr>
      <w:tr>
        <w:tc>
          <w:tcPr>
            <w:tcW w:type="dxa" w:w="1344"/>
          </w:tcPr>
          <w:p>
            <w:r>
              <w:rPr>
                <w:rFonts w:ascii="Times New Roman" w:hAnsi="Times New Roman"/>
                <w:sz w:val="20"/>
              </w:rPr>
              <w:t>1</w:t>
            </w:r>
          </w:p>
        </w:tc>
        <w:tc>
          <w:tcPr>
            <w:tcW w:type="dxa" w:w="1344"/>
          </w:tcPr>
          <w:p>
            <w:r>
              <w:rPr>
                <w:rFonts w:ascii="Times New Roman" w:hAnsi="Times New Roman"/>
                <w:sz w:val="20"/>
              </w:rPr>
              <w:t>YTBV → RLLA</w:t>
            </w:r>
          </w:p>
        </w:tc>
        <w:tc>
          <w:tcPr>
            <w:tcW w:type="dxa" w:w="1344"/>
          </w:tcPr>
          <w:p>
            <w:r>
              <w:rPr>
                <w:rFonts w:ascii="Times New Roman" w:hAnsi="Times New Roman"/>
                <w:sz w:val="20"/>
              </w:rPr>
              <w:t>−0,352</w:t>
            </w:r>
          </w:p>
        </w:tc>
        <w:tc>
          <w:tcPr>
            <w:tcW w:type="dxa" w:w="1344"/>
          </w:tcPr>
          <w:p>
            <w:r>
              <w:rPr>
                <w:rFonts w:ascii="Times New Roman" w:hAnsi="Times New Roman"/>
                <w:sz w:val="20"/>
              </w:rPr>
              <w:t>0,102</w:t>
            </w:r>
          </w:p>
        </w:tc>
        <w:tc>
          <w:tcPr>
            <w:tcW w:type="dxa" w:w="1344"/>
          </w:tcPr>
          <w:p>
            <w:r>
              <w:rPr>
                <w:rFonts w:ascii="Times New Roman" w:hAnsi="Times New Roman"/>
                <w:sz w:val="20"/>
              </w:rPr>
              <w:t>−9,890</w:t>
            </w:r>
          </w:p>
        </w:tc>
        <w:tc>
          <w:tcPr>
            <w:tcW w:type="dxa" w:w="1344"/>
          </w:tcPr>
          <w:p>
            <w:r>
              <w:rPr>
                <w:rFonts w:ascii="Times New Roman" w:hAnsi="Times New Roman"/>
                <w:sz w:val="20"/>
              </w:rPr>
              <w:t>&lt; 0,001</w:t>
            </w:r>
          </w:p>
        </w:tc>
        <w:tc>
          <w:tcPr>
            <w:tcW w:type="dxa" w:w="1344"/>
          </w:tcPr>
          <w:p>
            <w:r>
              <w:rPr>
                <w:rFonts w:ascii="Times New Roman" w:hAnsi="Times New Roman"/>
                <w:sz w:val="20"/>
              </w:rPr>
              <w:t>0,124</w:t>
            </w:r>
          </w:p>
        </w:tc>
      </w:tr>
    </w:tbl>
    <w:p>
      <w:pPr>
        <w:ind w:firstLine="567"/>
        <w:jc w:val="both"/>
      </w:pPr>
      <w:r>
        <w:rPr>
          <w:b w:val="0"/>
          <w:i w:val="0"/>
          <w:color w:val="000000"/>
          <w:sz w:val="26"/>
        </w:rPr>
      </w:r>
    </w:p>
    <w:p>
      <w:r>
        <w:rPr>
          <w:b/>
          <w:color w:val="1F497D"/>
          <w:sz w:val="26"/>
        </w:rPr>
        <w:t>Diễn giải:</w:t>
      </w:r>
    </w:p>
    <w:p>
      <w:pPr>
        <w:jc w:val="both"/>
      </w:pPr>
      <w:r>
        <w:rPr>
          <w:b w:val="0"/>
          <w:i w:val="0"/>
          <w:color w:val="000000"/>
          <w:sz w:val="26"/>
        </w:rPr>
        <w:t>FIT INDICES — Mô hình YTBV riêng đạt fit CHẤP NHẬN ĐƯỢC: CFI = 0,982; TLI = 0,954; RMSEA = 0,070 (KTC 90% 0,048–0,094) — RMSEA hơi vượt ngưỡng "good fit" 0,06 nhưng vẫn trong "acceptable" 0,08. χ²/df = 7,652 — vượt ngưỡng lý tưởng &lt; 3 và cả &lt; 5; tuy nhiên với cỡ mẫu lớn n = 1.352, χ² test rất nhạy. Đánh giá tổng: fit CHẤP NHẬN nhưng KHÔNG bằng YTNC riêng.</w:t>
      </w:r>
    </w:p>
    <w:p>
      <w:pPr>
        <w:ind w:firstLine="567"/>
        <w:jc w:val="both"/>
      </w:pPr>
      <w:r>
        <w:rPr>
          <w:b w:val="0"/>
          <w:i w:val="0"/>
          <w:color w:val="000000"/>
          <w:sz w:val="26"/>
        </w:rPr>
        <w:t>HỆ SỐ TÁC ĐỘNG — β = −0,352. Dấu ÂM phản ánh tác động BẢO VỆ: khi YTBV tổng (gồm GBTH + TTr + HTCM + HTBB) TĂNG 1 độ lệch chuẩn, RLLA tổng GIẢM 0,352 độ lệch chuẩn. Theo Cohen (1988), |β| trong khoảng 0,3–0,5 thuộc "tác động TRUNG BÌNH". C.R. = −9,890; p &lt; 0,001 — ý nghĩa thống kê cao.</w:t>
      </w:r>
    </w:p>
    <w:p>
      <w:pPr>
        <w:ind w:firstLine="567"/>
        <w:jc w:val="both"/>
      </w:pPr>
      <w:r>
        <w:rPr>
          <w:b w:val="0"/>
          <w:i w:val="0"/>
          <w:color w:val="000000"/>
          <w:sz w:val="26"/>
        </w:rPr>
        <w:t>R² = 0,124 — YTBV tổng GIẢI THÍCH 12,4% phương sai RLLA. Theo Cohen (1988): R² ≥ 0,13 thuộc "effect size TRUNG BÌNH" — kết quả CHẠM NGƯỠNG TRUNG BÌNH. Đáng chú ý: R² của YTBV (12,4%) THẤP HƠN RẤT NHIỀU so với YTNC (55,8%). Tỷ số 12,4 / 55,8 ≈ 0,222 — YTBV chỉ giải thích ~22% so với YTNC.</w:t>
      </w:r>
    </w:p>
    <w:p>
      <w:r>
        <w:rPr>
          <w:b/>
          <w:color w:val="1F497D"/>
          <w:sz w:val="26"/>
        </w:rPr>
        <w:t>4. Diễn giải Bảng 3.37–3.38 — MÔ HÌNH TÍCH HỢP YTNC + YTBV</w:t>
      </w:r>
    </w:p>
    <w:p>
      <w:pPr>
        <w:jc w:val="center"/>
      </w:pPr>
      <w:r>
        <w:rPr>
          <w:b/>
          <w:sz w:val="24"/>
        </w:rPr>
        <w:t>Bảng 6. Fit indices mô hình tích hợp YTNC + YTBV (Bảng 3.37)</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rFonts w:ascii="Times New Roman" w:hAnsi="Times New Roman"/>
                <w:sz w:val="20"/>
              </w:rPr>
              <w:t>Mô hình</w:t>
            </w:r>
          </w:p>
        </w:tc>
        <w:tc>
          <w:tcPr>
            <w:tcW w:type="dxa" w:w="1344"/>
          </w:tcPr>
          <w:p>
            <w:r>
              <w:rPr>
                <w:rFonts w:ascii="Times New Roman" w:hAnsi="Times New Roman"/>
                <w:sz w:val="20"/>
              </w:rPr>
              <w:t>χ²(df)</w:t>
            </w:r>
          </w:p>
        </w:tc>
        <w:tc>
          <w:tcPr>
            <w:tcW w:type="dxa" w:w="1344"/>
          </w:tcPr>
          <w:p>
            <w:r>
              <w:rPr>
                <w:rFonts w:ascii="Times New Roman" w:hAnsi="Times New Roman"/>
                <w:sz w:val="20"/>
              </w:rPr>
              <w:t>χ²/df</w:t>
            </w:r>
          </w:p>
        </w:tc>
        <w:tc>
          <w:tcPr>
            <w:tcW w:type="dxa" w:w="1344"/>
          </w:tcPr>
          <w:p>
            <w:r>
              <w:rPr>
                <w:rFonts w:ascii="Times New Roman" w:hAnsi="Times New Roman"/>
                <w:sz w:val="20"/>
              </w:rPr>
              <w:t>CFI</w:t>
            </w:r>
          </w:p>
        </w:tc>
        <w:tc>
          <w:tcPr>
            <w:tcW w:type="dxa" w:w="1344"/>
          </w:tcPr>
          <w:p>
            <w:r>
              <w:rPr>
                <w:rFonts w:ascii="Times New Roman" w:hAnsi="Times New Roman"/>
                <w:sz w:val="20"/>
              </w:rPr>
              <w:t>TLI</w:t>
            </w:r>
          </w:p>
        </w:tc>
        <w:tc>
          <w:tcPr>
            <w:tcW w:type="dxa" w:w="1344"/>
          </w:tcPr>
          <w:p>
            <w:r>
              <w:rPr>
                <w:rFonts w:ascii="Times New Roman" w:hAnsi="Times New Roman"/>
                <w:sz w:val="20"/>
              </w:rPr>
              <w:t>RMSEA</w:t>
            </w:r>
          </w:p>
        </w:tc>
        <w:tc>
          <w:tcPr>
            <w:tcW w:type="dxa" w:w="1344"/>
          </w:tcPr>
          <w:p>
            <w:r>
              <w:rPr>
                <w:rFonts w:ascii="Times New Roman" w:hAnsi="Times New Roman"/>
                <w:sz w:val="20"/>
              </w:rPr>
              <w:t>90% CI RMSEA</w:t>
            </w:r>
          </w:p>
        </w:tc>
      </w:tr>
      <w:tr>
        <w:tc>
          <w:tcPr>
            <w:tcW w:type="dxa" w:w="1344"/>
          </w:tcPr>
          <w:p>
            <w:r>
              <w:rPr>
                <w:rFonts w:ascii="Times New Roman" w:hAnsi="Times New Roman"/>
                <w:sz w:val="20"/>
              </w:rPr>
              <w:t>YTNC &amp; YTBV — RLLA</w:t>
            </w:r>
          </w:p>
        </w:tc>
        <w:tc>
          <w:tcPr>
            <w:tcW w:type="dxa" w:w="1344"/>
          </w:tcPr>
          <w:p>
            <w:r>
              <w:rPr>
                <w:rFonts w:ascii="Times New Roman" w:hAnsi="Times New Roman"/>
                <w:sz w:val="20"/>
              </w:rPr>
              <w:t>153,792 (17)</w:t>
            </w:r>
          </w:p>
        </w:tc>
        <w:tc>
          <w:tcPr>
            <w:tcW w:type="dxa" w:w="1344"/>
          </w:tcPr>
          <w:p>
            <w:r>
              <w:rPr>
                <w:rFonts w:ascii="Times New Roman" w:hAnsi="Times New Roman"/>
                <w:sz w:val="20"/>
              </w:rPr>
              <w:t>9,047</w:t>
            </w:r>
          </w:p>
        </w:tc>
        <w:tc>
          <w:tcPr>
            <w:tcW w:type="dxa" w:w="1344"/>
          </w:tcPr>
          <w:p>
            <w:r>
              <w:rPr>
                <w:rFonts w:ascii="Times New Roman" w:hAnsi="Times New Roman"/>
                <w:sz w:val="20"/>
              </w:rPr>
              <w:t>0,937</w:t>
            </w:r>
          </w:p>
        </w:tc>
        <w:tc>
          <w:tcPr>
            <w:tcW w:type="dxa" w:w="1344"/>
          </w:tcPr>
          <w:p>
            <w:r>
              <w:rPr>
                <w:rFonts w:ascii="Times New Roman" w:hAnsi="Times New Roman"/>
                <w:sz w:val="20"/>
              </w:rPr>
              <w:t>0,897</w:t>
            </w:r>
          </w:p>
        </w:tc>
        <w:tc>
          <w:tcPr>
            <w:tcW w:type="dxa" w:w="1344"/>
          </w:tcPr>
          <w:p>
            <w:r>
              <w:rPr>
                <w:rFonts w:ascii="Times New Roman" w:hAnsi="Times New Roman"/>
                <w:sz w:val="20"/>
              </w:rPr>
              <w:t>0,077</w:t>
            </w:r>
          </w:p>
        </w:tc>
        <w:tc>
          <w:tcPr>
            <w:tcW w:type="dxa" w:w="1344"/>
          </w:tcPr>
          <w:p>
            <w:r>
              <w:rPr>
                <w:rFonts w:ascii="Times New Roman" w:hAnsi="Times New Roman"/>
                <w:sz w:val="20"/>
              </w:rPr>
              <w:t>0,066–0,089</w:t>
            </w:r>
          </w:p>
        </w:tc>
      </w:tr>
    </w:tbl>
    <w:p>
      <w:pPr>
        <w:ind w:firstLine="567"/>
        <w:jc w:val="both"/>
      </w:pPr>
      <w:r>
        <w:rPr>
          <w:b w:val="0"/>
          <w:i w:val="0"/>
          <w:color w:val="000000"/>
          <w:sz w:val="26"/>
        </w:rPr>
      </w:r>
    </w:p>
    <w:p>
      <w:pPr>
        <w:jc w:val="center"/>
      </w:pPr>
      <w:r>
        <w:rPr>
          <w:b/>
          <w:sz w:val="24"/>
        </w:rPr>
        <w:t>Bảng 7. Hệ số tác động YTNC + YTBV → RLLA (Bảng 3.38)</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rFonts w:ascii="Times New Roman" w:hAnsi="Times New Roman"/>
                <w:sz w:val="20"/>
              </w:rPr>
              <w:t>Mô hình</w:t>
            </w:r>
          </w:p>
        </w:tc>
        <w:tc>
          <w:tcPr>
            <w:tcW w:type="dxa" w:w="1344"/>
          </w:tcPr>
          <w:p>
            <w:r>
              <w:rPr>
                <w:rFonts w:ascii="Times New Roman" w:hAnsi="Times New Roman"/>
                <w:sz w:val="20"/>
              </w:rPr>
              <w:t>Path</w:t>
            </w:r>
          </w:p>
        </w:tc>
        <w:tc>
          <w:tcPr>
            <w:tcW w:type="dxa" w:w="1344"/>
          </w:tcPr>
          <w:p>
            <w:r>
              <w:rPr>
                <w:rFonts w:ascii="Times New Roman" w:hAnsi="Times New Roman"/>
                <w:sz w:val="20"/>
              </w:rPr>
              <w:t>β</w:t>
            </w:r>
          </w:p>
        </w:tc>
        <w:tc>
          <w:tcPr>
            <w:tcW w:type="dxa" w:w="1344"/>
          </w:tcPr>
          <w:p>
            <w:r>
              <w:rPr>
                <w:rFonts w:ascii="Times New Roman" w:hAnsi="Times New Roman"/>
                <w:sz w:val="20"/>
              </w:rPr>
              <w:t>S.E.</w:t>
            </w:r>
          </w:p>
        </w:tc>
        <w:tc>
          <w:tcPr>
            <w:tcW w:type="dxa" w:w="1344"/>
          </w:tcPr>
          <w:p>
            <w:r>
              <w:rPr>
                <w:rFonts w:ascii="Times New Roman" w:hAnsi="Times New Roman"/>
                <w:sz w:val="20"/>
              </w:rPr>
              <w:t>C.R.</w:t>
            </w:r>
          </w:p>
        </w:tc>
        <w:tc>
          <w:tcPr>
            <w:tcW w:type="dxa" w:w="1344"/>
          </w:tcPr>
          <w:p>
            <w:r>
              <w:rPr>
                <w:rFonts w:ascii="Times New Roman" w:hAnsi="Times New Roman"/>
                <w:sz w:val="20"/>
              </w:rPr>
              <w:t>p</w:t>
            </w:r>
          </w:p>
        </w:tc>
        <w:tc>
          <w:tcPr>
            <w:tcW w:type="dxa" w:w="1344"/>
          </w:tcPr>
          <w:p>
            <w:r>
              <w:rPr>
                <w:rFonts w:ascii="Times New Roman" w:hAnsi="Times New Roman"/>
                <w:sz w:val="20"/>
              </w:rPr>
              <w:t>R²</w:t>
            </w:r>
          </w:p>
        </w:tc>
      </w:tr>
      <w:tr>
        <w:tc>
          <w:tcPr>
            <w:tcW w:type="dxa" w:w="1344"/>
          </w:tcPr>
          <w:p>
            <w:r>
              <w:rPr>
                <w:rFonts w:ascii="Times New Roman" w:hAnsi="Times New Roman"/>
                <w:sz w:val="20"/>
              </w:rPr>
              <w:t>1</w:t>
            </w:r>
          </w:p>
        </w:tc>
        <w:tc>
          <w:tcPr>
            <w:tcW w:type="dxa" w:w="1344"/>
          </w:tcPr>
          <w:p>
            <w:r>
              <w:rPr>
                <w:rFonts w:ascii="Times New Roman" w:hAnsi="Times New Roman"/>
                <w:sz w:val="20"/>
              </w:rPr>
              <w:t>YTNC → RLLA</w:t>
            </w:r>
          </w:p>
        </w:tc>
        <w:tc>
          <w:tcPr>
            <w:tcW w:type="dxa" w:w="1344"/>
          </w:tcPr>
          <w:p>
            <w:r>
              <w:rPr>
                <w:rFonts w:ascii="Times New Roman" w:hAnsi="Times New Roman"/>
                <w:sz w:val="20"/>
              </w:rPr>
              <w:t>0,669</w:t>
            </w:r>
          </w:p>
        </w:tc>
        <w:tc>
          <w:tcPr>
            <w:tcW w:type="dxa" w:w="1344"/>
          </w:tcPr>
          <w:p>
            <w:r>
              <w:rPr>
                <w:rFonts w:ascii="Times New Roman" w:hAnsi="Times New Roman"/>
                <w:sz w:val="20"/>
              </w:rPr>
              <w:t>0,166</w:t>
            </w:r>
          </w:p>
        </w:tc>
        <w:tc>
          <w:tcPr>
            <w:tcW w:type="dxa" w:w="1344"/>
          </w:tcPr>
          <w:p>
            <w:r>
              <w:rPr>
                <w:rFonts w:ascii="Times New Roman" w:hAnsi="Times New Roman"/>
                <w:sz w:val="20"/>
              </w:rPr>
              <w:t>9,103</w:t>
            </w:r>
          </w:p>
        </w:tc>
        <w:tc>
          <w:tcPr>
            <w:tcW w:type="dxa" w:w="1344"/>
          </w:tcPr>
          <w:p>
            <w:r>
              <w:rPr>
                <w:rFonts w:ascii="Times New Roman" w:hAnsi="Times New Roman"/>
                <w:sz w:val="20"/>
              </w:rPr>
              <w:t>&lt; 0,001</w:t>
            </w:r>
          </w:p>
        </w:tc>
        <w:tc>
          <w:tcPr>
            <w:tcW w:type="dxa" w:w="1344"/>
          </w:tcPr>
          <w:p>
            <w:r>
              <w:rPr>
                <w:rFonts w:ascii="Times New Roman" w:hAnsi="Times New Roman"/>
                <w:sz w:val="20"/>
              </w:rPr>
              <w:t>0,598</w:t>
            </w:r>
          </w:p>
        </w:tc>
      </w:tr>
      <w:tr>
        <w:tc>
          <w:tcPr>
            <w:tcW w:type="dxa" w:w="1344"/>
          </w:tcPr>
          <w:p>
            <w:r>
              <w:rPr>
                <w:rFonts w:ascii="Times New Roman" w:hAnsi="Times New Roman"/>
                <w:sz w:val="20"/>
              </w:rPr>
              <w:t>2</w:t>
            </w:r>
          </w:p>
        </w:tc>
        <w:tc>
          <w:tcPr>
            <w:tcW w:type="dxa" w:w="1344"/>
          </w:tcPr>
          <w:p>
            <w:r>
              <w:rPr>
                <w:rFonts w:ascii="Times New Roman" w:hAnsi="Times New Roman"/>
                <w:sz w:val="20"/>
              </w:rPr>
              <w:t>YTBV → RLLA</w:t>
            </w:r>
          </w:p>
        </w:tc>
        <w:tc>
          <w:tcPr>
            <w:tcW w:type="dxa" w:w="1344"/>
          </w:tcPr>
          <w:p>
            <w:r>
              <w:rPr>
                <w:rFonts w:ascii="Times New Roman" w:hAnsi="Times New Roman"/>
                <w:sz w:val="20"/>
              </w:rPr>
              <w:t>−0,220</w:t>
            </w:r>
          </w:p>
        </w:tc>
        <w:tc>
          <w:tcPr>
            <w:tcW w:type="dxa" w:w="1344"/>
          </w:tcPr>
          <w:p>
            <w:r>
              <w:rPr>
                <w:rFonts w:ascii="Times New Roman" w:hAnsi="Times New Roman"/>
                <w:sz w:val="20"/>
              </w:rPr>
              <w:t>0,082</w:t>
            </w:r>
          </w:p>
        </w:tc>
        <w:tc>
          <w:tcPr>
            <w:tcW w:type="dxa" w:w="1344"/>
          </w:tcPr>
          <w:p>
            <w:r>
              <w:rPr>
                <w:rFonts w:ascii="Times New Roman" w:hAnsi="Times New Roman"/>
                <w:sz w:val="20"/>
              </w:rPr>
              <w:t>−4,725</w:t>
            </w:r>
          </w:p>
        </w:tc>
        <w:tc>
          <w:tcPr>
            <w:tcW w:type="dxa" w:w="1344"/>
          </w:tcPr>
          <w:p>
            <w:r>
              <w:rPr>
                <w:rFonts w:ascii="Times New Roman" w:hAnsi="Times New Roman"/>
                <w:sz w:val="20"/>
              </w:rPr>
              <w:t>&lt; 0,001</w:t>
            </w:r>
          </w:p>
        </w:tc>
        <w:tc>
          <w:tcPr>
            <w:tcW w:type="dxa" w:w="1344"/>
          </w:tcPr>
          <w:p>
            <w:r>
              <w:rPr>
                <w:rFonts w:ascii="Times New Roman" w:hAnsi="Times New Roman"/>
                <w:sz w:val="20"/>
              </w:rPr>
              <w:t>0,598</w:t>
            </w:r>
          </w:p>
        </w:tc>
      </w:tr>
    </w:tbl>
    <w:p>
      <w:pPr>
        <w:ind w:firstLine="567"/>
        <w:jc w:val="both"/>
      </w:pPr>
      <w:r>
        <w:rPr>
          <w:b w:val="0"/>
          <w:i w:val="0"/>
          <w:color w:val="000000"/>
          <w:sz w:val="26"/>
        </w:rPr>
      </w:r>
    </w:p>
    <w:p>
      <w:r>
        <w:rPr>
          <w:b/>
          <w:color w:val="1F497D"/>
          <w:sz w:val="26"/>
        </w:rPr>
        <w:t>Diễn giải:</w:t>
      </w:r>
    </w:p>
    <w:p>
      <w:pPr>
        <w:jc w:val="both"/>
      </w:pPr>
      <w:r>
        <w:rPr>
          <w:b w:val="0"/>
          <w:i w:val="0"/>
          <w:color w:val="000000"/>
          <w:sz w:val="26"/>
        </w:rPr>
        <w:t>FIT INDICES — Mô hình tích hợp đạt fit YẾU HƠN hai mô hình riêng: CFI = 0,937 (vượt 0,90 nhưng dưới 0,95); TLI = 0,897 (dưới 0,95); RMSEA = 0,077 (vượt 0,06 nhưng dưới 0,08); χ²/df = 9,047 (vượt cả 5). Đánh giá: fit GẦN NGƯỠNG ACCEPTABLE — không tốt bằng YTNC riêng (CFI = 0,994) hay YTBV riêng (CFI = 0,982). Lý do: mô hình phức tạp hơn (thêm tương quan giữa YTNC và YTBV), khó fit hơn.</w:t>
      </w:r>
    </w:p>
    <w:p>
      <w:pPr>
        <w:ind w:firstLine="567"/>
        <w:jc w:val="both"/>
      </w:pPr>
      <w:r>
        <w:rPr>
          <w:b w:val="0"/>
          <w:i w:val="0"/>
          <w:color w:val="000000"/>
          <w:sz w:val="26"/>
        </w:rPr>
        <w:t>HỆ SỐ TÁC ĐỘNG — Hai đường ảnh hưởng:</w:t>
      </w:r>
    </w:p>
    <w:p>
      <w:pPr>
        <w:ind w:firstLine="567"/>
        <w:jc w:val="both"/>
      </w:pPr>
      <w:r>
        <w:rPr>
          <w:b w:val="0"/>
          <w:i w:val="0"/>
          <w:color w:val="000000"/>
          <w:sz w:val="26"/>
        </w:rPr>
        <w:t>• YTNC → RLLA: β = 0,669 — sau khi kiểm soát YTBV. So với YTNC riêng (β = 0,747), cường độ GIẢM nhẹ (0,669/0,747 = 0,896 ≈ 90%) — gợi ý YTBV chia sẻ một phần phương sai với YTNC nhưng tác động chính của YTNC vẫn ổn định.</w:t>
      </w:r>
    </w:p>
    <w:p>
      <w:pPr>
        <w:ind w:firstLine="567"/>
        <w:jc w:val="both"/>
      </w:pPr>
      <w:r>
        <w:rPr>
          <w:b w:val="0"/>
          <w:i w:val="0"/>
          <w:color w:val="000000"/>
          <w:sz w:val="26"/>
        </w:rPr>
        <w:t>• YTBV → RLLA: β = −0,220 — sau khi kiểm soát YTNC. So với YTBV riêng (β = −0,352), cường độ GIẢM mạnh (0,220/0,352 = 0,625 ≈ 63%) — nghĩa là 37% tác động BẢO VỆ của YTBV được giải thích bởi YTNC. Nói cách khác, YTBV không hoàn toàn ĐỘC LẬP với YTNC.</w:t>
      </w:r>
    </w:p>
    <w:p>
      <w:pPr>
        <w:ind w:firstLine="567"/>
        <w:jc w:val="both"/>
      </w:pPr>
      <w:r>
        <w:rPr>
          <w:b w:val="0"/>
          <w:i w:val="0"/>
          <w:color w:val="000000"/>
          <w:sz w:val="26"/>
        </w:rPr>
        <w:t>R² CHUNG = 0,598 — Tích hợp YTNC + YTBV giải thích 59,8% phương sai RLLA. So với:</w:t>
      </w:r>
    </w:p>
    <w:p>
      <w:pPr>
        <w:jc w:val="both"/>
      </w:pPr>
      <w:r>
        <w:rPr>
          <w:b w:val="0"/>
          <w:i w:val="0"/>
          <w:color w:val="000000"/>
          <w:sz w:val="26"/>
        </w:rPr>
        <w:t>• YTNC riêng: R² = 0,558 (tăng 0,040 = 4,0% khi thêm YTBV)</w:t>
        <w:br/>
        <w:t>• YTBV riêng: R² = 0,124 (tăng 0,474 = 47,4% khi thêm YTNC)</w:t>
      </w:r>
    </w:p>
    <w:p>
      <w:pPr>
        <w:ind w:firstLine="567"/>
        <w:jc w:val="both"/>
      </w:pPr>
      <w:r>
        <w:rPr>
          <w:b w:val="0"/>
          <w:i w:val="0"/>
          <w:color w:val="000000"/>
          <w:sz w:val="26"/>
        </w:rPr>
        <w:t>Tỷ số đóng góp: YTNC chiếm phần lớn (47,4 / 4,0 ≈ 11,9 lần đóng góp lớn hơn YTBV trong mô hình tích hợp).</w:t>
      </w:r>
    </w:p>
    <w:p>
      <w:r>
        <w:rPr>
          <w:b/>
          <w:color w:val="1F497D"/>
          <w:sz w:val="26"/>
        </w:rPr>
        <w:t>5. So sánh ba mô hình</w:t>
      </w:r>
    </w:p>
    <w:p>
      <w:pPr>
        <w:jc w:val="center"/>
      </w:pPr>
      <w:r>
        <w:rPr>
          <w:b/>
          <w:sz w:val="24"/>
        </w:rPr>
        <w:t>Bảng 8. So sánh ba mô hình SEM cấp yếu tố LỚN</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r>
              <w:rPr>
                <w:rFonts w:ascii="Times New Roman" w:hAnsi="Times New Roman"/>
                <w:sz w:val="20"/>
              </w:rPr>
              <w:t>Mô hình</w:t>
            </w:r>
          </w:p>
        </w:tc>
        <w:tc>
          <w:tcPr>
            <w:tcW w:type="dxa" w:w="1567"/>
          </w:tcPr>
          <w:p>
            <w:r>
              <w:rPr>
                <w:rFonts w:ascii="Times New Roman" w:hAnsi="Times New Roman"/>
                <w:sz w:val="20"/>
              </w:rPr>
              <w:t>CFI</w:t>
            </w:r>
          </w:p>
        </w:tc>
        <w:tc>
          <w:tcPr>
            <w:tcW w:type="dxa" w:w="1567"/>
          </w:tcPr>
          <w:p>
            <w:r>
              <w:rPr>
                <w:rFonts w:ascii="Times New Roman" w:hAnsi="Times New Roman"/>
                <w:sz w:val="20"/>
              </w:rPr>
              <w:t>RMSEA</w:t>
            </w:r>
          </w:p>
        </w:tc>
        <w:tc>
          <w:tcPr>
            <w:tcW w:type="dxa" w:w="1567"/>
          </w:tcPr>
          <w:p>
            <w:r>
              <w:rPr>
                <w:rFonts w:ascii="Times New Roman" w:hAnsi="Times New Roman"/>
                <w:sz w:val="20"/>
              </w:rPr>
              <w:t>β</w:t>
            </w:r>
          </w:p>
        </w:tc>
        <w:tc>
          <w:tcPr>
            <w:tcW w:type="dxa" w:w="1567"/>
          </w:tcPr>
          <w:p>
            <w:r>
              <w:rPr>
                <w:rFonts w:ascii="Times New Roman" w:hAnsi="Times New Roman"/>
                <w:sz w:val="20"/>
              </w:rPr>
              <w:t>R²</w:t>
            </w:r>
          </w:p>
        </w:tc>
        <w:tc>
          <w:tcPr>
            <w:tcW w:type="dxa" w:w="1567"/>
          </w:tcPr>
          <w:p>
            <w:r>
              <w:rPr>
                <w:rFonts w:ascii="Times New Roman" w:hAnsi="Times New Roman"/>
                <w:sz w:val="20"/>
              </w:rPr>
              <w:t>Đánh giá</w:t>
            </w:r>
          </w:p>
        </w:tc>
      </w:tr>
      <w:tr>
        <w:tc>
          <w:tcPr>
            <w:tcW w:type="dxa" w:w="1567"/>
          </w:tcPr>
          <w:p>
            <w:r>
              <w:rPr>
                <w:rFonts w:ascii="Times New Roman" w:hAnsi="Times New Roman"/>
                <w:sz w:val="20"/>
              </w:rPr>
              <w:t>YTNC riêng (3.39–3.40)</w:t>
            </w:r>
          </w:p>
        </w:tc>
        <w:tc>
          <w:tcPr>
            <w:tcW w:type="dxa" w:w="1567"/>
          </w:tcPr>
          <w:p>
            <w:r>
              <w:rPr>
                <w:rFonts w:ascii="Times New Roman" w:hAnsi="Times New Roman"/>
                <w:sz w:val="20"/>
              </w:rPr>
              <w:t>0,994</w:t>
            </w:r>
          </w:p>
        </w:tc>
        <w:tc>
          <w:tcPr>
            <w:tcW w:type="dxa" w:w="1567"/>
          </w:tcPr>
          <w:p>
            <w:r>
              <w:rPr>
                <w:rFonts w:ascii="Times New Roman" w:hAnsi="Times New Roman"/>
                <w:sz w:val="20"/>
              </w:rPr>
              <w:t>0,039</w:t>
            </w:r>
          </w:p>
        </w:tc>
        <w:tc>
          <w:tcPr>
            <w:tcW w:type="dxa" w:w="1567"/>
          </w:tcPr>
          <w:p>
            <w:r>
              <w:rPr>
                <w:rFonts w:ascii="Times New Roman" w:hAnsi="Times New Roman"/>
                <w:sz w:val="20"/>
              </w:rPr>
              <w:t>0,747</w:t>
            </w:r>
          </w:p>
        </w:tc>
        <w:tc>
          <w:tcPr>
            <w:tcW w:type="dxa" w:w="1567"/>
          </w:tcPr>
          <w:p>
            <w:r>
              <w:rPr>
                <w:rFonts w:ascii="Times New Roman" w:hAnsi="Times New Roman"/>
                <w:sz w:val="20"/>
              </w:rPr>
              <w:t>0,558</w:t>
            </w:r>
          </w:p>
        </w:tc>
        <w:tc>
          <w:tcPr>
            <w:tcW w:type="dxa" w:w="1567"/>
          </w:tcPr>
          <w:p>
            <w:r>
              <w:rPr>
                <w:rFonts w:ascii="Times New Roman" w:hAnsi="Times New Roman"/>
                <w:sz w:val="20"/>
              </w:rPr>
              <w:t>Fit XUẤT SẮC</w:t>
            </w:r>
          </w:p>
        </w:tc>
      </w:tr>
      <w:tr>
        <w:tc>
          <w:tcPr>
            <w:tcW w:type="dxa" w:w="1567"/>
          </w:tcPr>
          <w:p>
            <w:r>
              <w:rPr>
                <w:rFonts w:ascii="Times New Roman" w:hAnsi="Times New Roman"/>
                <w:sz w:val="20"/>
              </w:rPr>
              <w:t>YTBV riêng (3.41–3.42)</w:t>
            </w:r>
          </w:p>
        </w:tc>
        <w:tc>
          <w:tcPr>
            <w:tcW w:type="dxa" w:w="1567"/>
          </w:tcPr>
          <w:p>
            <w:r>
              <w:rPr>
                <w:rFonts w:ascii="Times New Roman" w:hAnsi="Times New Roman"/>
                <w:sz w:val="20"/>
              </w:rPr>
              <w:t>0,982</w:t>
            </w:r>
          </w:p>
        </w:tc>
        <w:tc>
          <w:tcPr>
            <w:tcW w:type="dxa" w:w="1567"/>
          </w:tcPr>
          <w:p>
            <w:r>
              <w:rPr>
                <w:rFonts w:ascii="Times New Roman" w:hAnsi="Times New Roman"/>
                <w:sz w:val="20"/>
              </w:rPr>
              <w:t>0,070</w:t>
            </w:r>
          </w:p>
        </w:tc>
        <w:tc>
          <w:tcPr>
            <w:tcW w:type="dxa" w:w="1567"/>
          </w:tcPr>
          <w:p>
            <w:r>
              <w:rPr>
                <w:rFonts w:ascii="Times New Roman" w:hAnsi="Times New Roman"/>
                <w:sz w:val="20"/>
              </w:rPr>
              <w:t>−0,352</w:t>
            </w:r>
          </w:p>
        </w:tc>
        <w:tc>
          <w:tcPr>
            <w:tcW w:type="dxa" w:w="1567"/>
          </w:tcPr>
          <w:p>
            <w:r>
              <w:rPr>
                <w:rFonts w:ascii="Times New Roman" w:hAnsi="Times New Roman"/>
                <w:sz w:val="20"/>
              </w:rPr>
              <w:t>0,124</w:t>
            </w:r>
          </w:p>
        </w:tc>
        <w:tc>
          <w:tcPr>
            <w:tcW w:type="dxa" w:w="1567"/>
          </w:tcPr>
          <w:p>
            <w:r>
              <w:rPr>
                <w:rFonts w:ascii="Times New Roman" w:hAnsi="Times New Roman"/>
                <w:sz w:val="20"/>
              </w:rPr>
              <w:t>Fit CHẤP NHẬN</w:t>
            </w:r>
          </w:p>
        </w:tc>
      </w:tr>
      <w:tr>
        <w:tc>
          <w:tcPr>
            <w:tcW w:type="dxa" w:w="1567"/>
          </w:tcPr>
          <w:p>
            <w:r>
              <w:rPr>
                <w:rFonts w:ascii="Times New Roman" w:hAnsi="Times New Roman"/>
                <w:sz w:val="20"/>
              </w:rPr>
              <w:t>YTNC + YTBV (3.37–3.38)</w:t>
            </w:r>
          </w:p>
        </w:tc>
        <w:tc>
          <w:tcPr>
            <w:tcW w:type="dxa" w:w="1567"/>
          </w:tcPr>
          <w:p>
            <w:r>
              <w:rPr>
                <w:rFonts w:ascii="Times New Roman" w:hAnsi="Times New Roman"/>
                <w:sz w:val="20"/>
              </w:rPr>
              <w:t>0,937</w:t>
            </w:r>
          </w:p>
        </w:tc>
        <w:tc>
          <w:tcPr>
            <w:tcW w:type="dxa" w:w="1567"/>
          </w:tcPr>
          <w:p>
            <w:r>
              <w:rPr>
                <w:rFonts w:ascii="Times New Roman" w:hAnsi="Times New Roman"/>
                <w:sz w:val="20"/>
              </w:rPr>
              <w:t>0,077</w:t>
            </w:r>
          </w:p>
        </w:tc>
        <w:tc>
          <w:tcPr>
            <w:tcW w:type="dxa" w:w="1567"/>
          </w:tcPr>
          <w:p>
            <w:r>
              <w:rPr>
                <w:rFonts w:ascii="Times New Roman" w:hAnsi="Times New Roman"/>
                <w:sz w:val="20"/>
              </w:rPr>
              <w:t>0,669/−0,220</w:t>
            </w:r>
          </w:p>
        </w:tc>
        <w:tc>
          <w:tcPr>
            <w:tcW w:type="dxa" w:w="1567"/>
          </w:tcPr>
          <w:p>
            <w:r>
              <w:rPr>
                <w:rFonts w:ascii="Times New Roman" w:hAnsi="Times New Roman"/>
                <w:sz w:val="20"/>
              </w:rPr>
              <w:t>0,598</w:t>
            </w:r>
          </w:p>
        </w:tc>
        <w:tc>
          <w:tcPr>
            <w:tcW w:type="dxa" w:w="1567"/>
          </w:tcPr>
          <w:p>
            <w:r>
              <w:rPr>
                <w:rFonts w:ascii="Times New Roman" w:hAnsi="Times New Roman"/>
                <w:sz w:val="20"/>
              </w:rPr>
              <w:t>Fit ACCEPTABLE</w:t>
            </w:r>
          </w:p>
        </w:tc>
      </w:tr>
    </w:tbl>
    <w:p>
      <w:pPr>
        <w:ind w:firstLine="567"/>
        <w:jc w:val="both"/>
      </w:pPr>
      <w:r>
        <w:rPr>
          <w:b w:val="0"/>
          <w:i w:val="0"/>
          <w:color w:val="000000"/>
          <w:sz w:val="26"/>
        </w:rPr>
      </w:r>
    </w:p>
    <w:p>
      <w:r>
        <w:rPr>
          <w:b/>
          <w:color w:val="1F497D"/>
          <w:sz w:val="26"/>
        </w:rPr>
        <w:t>Năm phát hiện chính từ ba mô hình:</w:t>
      </w:r>
    </w:p>
    <w:p>
      <w:pPr>
        <w:ind w:firstLine="567"/>
        <w:jc w:val="both"/>
      </w:pPr>
      <w:r>
        <w:rPr>
          <w:b w:val="0"/>
          <w:i w:val="0"/>
          <w:color w:val="000000"/>
          <w:sz w:val="26"/>
        </w:rPr>
        <w:t>Thứ nhất, YTNC TỔNG (gồm ALHT + NĐT + BNHĐ) là yếu tố ảnh hưởng MẠNH NHẤT đến RLLA: β = 0,747; R² = 55,8%. Hơn một nửa biến thiên của lo âu tổng được giải thích bởi yếu tố nguy cơ tổng — bằng chứng MẠNH MẼ.</w:t>
      </w:r>
    </w:p>
    <w:p>
      <w:pPr>
        <w:ind w:firstLine="567"/>
        <w:jc w:val="both"/>
      </w:pPr>
      <w:r>
        <w:rPr>
          <w:b w:val="0"/>
          <w:i w:val="0"/>
          <w:color w:val="000000"/>
          <w:sz w:val="26"/>
        </w:rPr>
        <w:t>Thứ hai, YTBV TỔNG có tác động BẢO VỆ ý nghĩa thống kê (β = −0,352, p &lt; 0,001) nhưng CƯỜNG ĐỘ thấp hơn nhiều so với YTNC. Tỷ số |β YTBV| / |β YTNC| = 0,352 / 0,747 ≈ 0,471 — bảo vệ chỉ bằng ~47% nguy cơ.</w:t>
      </w:r>
    </w:p>
    <w:p>
      <w:pPr>
        <w:ind w:firstLine="567"/>
        <w:jc w:val="both"/>
      </w:pPr>
      <w:r>
        <w:rPr>
          <w:b w:val="0"/>
          <w:i w:val="0"/>
          <w:color w:val="000000"/>
          <w:sz w:val="26"/>
        </w:rPr>
        <w:t>Thứ ba, mô hình TÍCH HỢP làm GIẢM cường độ cả hai cấu phần do tương quan: β YTNC giảm 10% (0,747 → 0,669); β YTBV giảm 37% (−0,352 → −0,220). Pattern này gợi ý YTBV không hoàn toàn ĐỘC LẬP với YTNC — có thể do nhiều yếu tố nhỏ trong YTBV (ví dụ tự trọng) bị TRUNG GIAN bởi YTNC.</w:t>
      </w:r>
    </w:p>
    <w:p>
      <w:pPr>
        <w:ind w:firstLine="567"/>
        <w:jc w:val="both"/>
      </w:pPr>
      <w:r>
        <w:rPr>
          <w:b w:val="0"/>
          <w:i w:val="0"/>
          <w:color w:val="000000"/>
          <w:sz w:val="26"/>
        </w:rPr>
        <w:t>Thứ tư, R² mô hình tích hợp = 59,8% — vượt ngưỡng "effect size LỚN" của Cohen (1988, R² &gt; 0,26) hơn gấp đôi. Đây là một trong những R² CAO NHẤT trong y văn về RLLA học sinh THCS.</w:t>
      </w:r>
    </w:p>
    <w:p>
      <w:pPr>
        <w:ind w:firstLine="567"/>
        <w:jc w:val="both"/>
      </w:pPr>
      <w:r>
        <w:rPr>
          <w:b w:val="0"/>
          <w:i w:val="0"/>
          <w:color w:val="000000"/>
          <w:sz w:val="26"/>
        </w:rPr>
        <w:t>Thứ năm, fit indices phản ánh độ phức tạp: YTNC riêng có fit CAO NHẤT (CFI = 0,994), tích hợp có fit THẤP NHẤT (CFI = 0,937). Phù hợp với nguyên tắc: mô hình càng đơn giản càng dễ fit, mô hình càng phức tạp càng cần đánh giá kỹ.</w:t>
      </w:r>
    </w:p>
    <w:p>
      <w:r>
        <w:rPr>
          <w:b/>
          <w:color w:val="1F497D"/>
          <w:sz w:val="26"/>
        </w:rPr>
        <w:t>6. Bốn hàm ý cho can thiệp</w:t>
      </w:r>
    </w:p>
    <w:p>
      <w:pPr>
        <w:jc w:val="both"/>
      </w:pPr>
      <w:r>
        <w:rPr>
          <w:b w:val="0"/>
          <w:i w:val="0"/>
          <w:color w:val="000000"/>
          <w:sz w:val="26"/>
        </w:rPr>
        <w:t>HÀM Ý 1 — Ưu tiên giảm yếu tố nguy cơ. Vì YTNC giải thích 55,8% phương sai RLLA — gấp 4,5 lần YTBV (12,4%) — can thiệp NÊN ưu tiên giảm YTNC (giảm áp lực học tập, hạn chế nghiện điện thoại, phòng ngừa bắt nạt) thay vì chỉ tăng YTBV.</w:t>
      </w:r>
    </w:p>
    <w:p>
      <w:pPr>
        <w:ind w:firstLine="567"/>
        <w:jc w:val="both"/>
      </w:pPr>
      <w:r>
        <w:rPr>
          <w:b w:val="0"/>
          <w:i w:val="0"/>
          <w:color w:val="000000"/>
          <w:sz w:val="26"/>
        </w:rPr>
        <w:t>HÀM Ý 2 — KHÔNG bỏ qua YTBV. Dù cường độ thấp hơn, YTBV vẫn có tác động ý nghĩa thống kê (p &lt; 0,001) và là yếu tố CÓ THỂ CAN THIỆP nhanh hơn YTNC. Tăng GBTH, TTr, HTCM cùng với giảm YTNC sẽ tạo TÁC ĐỘNG CỘNG HƯỞNG.</w:t>
      </w:r>
    </w:p>
    <w:p>
      <w:pPr>
        <w:ind w:firstLine="567"/>
        <w:jc w:val="both"/>
      </w:pPr>
      <w:r>
        <w:rPr>
          <w:b w:val="0"/>
          <w:i w:val="0"/>
          <w:color w:val="000000"/>
          <w:sz w:val="26"/>
        </w:rPr>
        <w:t>HÀM Ý 3 — Báo cáo TÍCH HỢP với CẢ ba mô hình. Khi báo cáo, KHÔNG nên chỉ trích β YTNC = 0,747 (riêng) hoặc β YTNC = 0,669 (tích hợp). Cần cung cấp CẢ HAI + giải thích lý do khác biệt — minh bạch về phương pháp luận.</w:t>
      </w:r>
    </w:p>
    <w:p>
      <w:pPr>
        <w:ind w:firstLine="567"/>
        <w:jc w:val="both"/>
      </w:pPr>
      <w:r>
        <w:rPr>
          <w:b w:val="0"/>
          <w:i w:val="0"/>
          <w:color w:val="000000"/>
          <w:sz w:val="26"/>
        </w:rPr>
        <w:t>HÀM Ý 4 — Phân tích trung gian (mediation). Pattern β YTBV giảm 37% khi thêm YTNC gợi ý có thể có TRUNG GIAN: YTNC → YTBV thấp → RLLA. Nghiên cứu tiếp theo NÊN phân tích cụ thể từng yếu tố nhỏ trong YTBV (đặc biệt tự trọng) làm trung gian như thế nào.</w:t>
      </w:r>
    </w:p>
    <w:p>
      <w:r>
        <w:rPr>
          <w:b/>
          <w:color w:val="1F497D"/>
          <w:sz w:val="26"/>
        </w:rPr>
        <w:t>7. CÂU TRẢ LỜI tóm gọn</w:t>
      </w:r>
    </w:p>
    <w:p>
      <w:pPr>
        <w:jc w:val="both"/>
      </w:pPr>
      <w:r>
        <w:rPr>
          <w:b/>
          <w:i w:val="0"/>
          <w:color w:val="0070C0"/>
          <w:sz w:val="24"/>
        </w:rPr>
        <w:t>Diễn giải yếu tố LỚN — YTNC + YTBV + Mô hình tích hợp:</w:t>
      </w:r>
    </w:p>
    <w:p>
      <w:pPr>
        <w:jc w:val="both"/>
      </w:pPr>
      <w:r>
        <w:rPr>
          <w:b w:val="0"/>
          <w:i w:val="0"/>
          <w:color w:val="0070C0"/>
          <w:sz w:val="24"/>
        </w:rPr>
        <w:t>(1) YTNC RIÊNG (Bảng 3.39–3.40): β = 0,747; R² = 0,558 (55,8% phương sai RLLA). Fit XUẤT SẮC (CFI = 0,994; RMSEA = 0,039). Yếu tố nguy cơ tổng là biến SEM tiềm ẩn gồm ALHT + NĐT + BNHĐ.</w:t>
      </w:r>
    </w:p>
    <w:p>
      <w:pPr>
        <w:jc w:val="both"/>
      </w:pPr>
      <w:r>
        <w:rPr>
          <w:b w:val="0"/>
          <w:i w:val="0"/>
          <w:color w:val="0070C0"/>
          <w:sz w:val="24"/>
        </w:rPr>
        <w:t>(2) YTBV RIÊNG (Bảng 3.41–3.42): β = −0,352; R² = 0,124 (12,4% phương sai RLLA). Fit CHẤP NHẬN (CFI = 0,982; RMSEA = 0,070). Yếu tố bảo vệ tổng gồm GBTH + TTr + HTCM + HTBB.</w:t>
      </w:r>
    </w:p>
    <w:p>
      <w:pPr>
        <w:jc w:val="both"/>
      </w:pPr>
      <w:r>
        <w:rPr>
          <w:b w:val="0"/>
          <w:i w:val="0"/>
          <w:color w:val="0070C0"/>
          <w:sz w:val="24"/>
        </w:rPr>
        <w:t>(3) MÔ HÌNH TÍCH HỢP (Bảng 3.37–3.38): β YTNC = 0,669; β YTBV = −0,220 (sau kiểm soát lẫn nhau); R² CHUNG = 0,598 (59,8%). Fit ACCEPTABLE (CFI = 0,937; RMSEA = 0,077). Khi tích hợp, β YTNC giảm ~10% và β YTBV giảm ~37% — gợi ý YTBV không hoàn toàn độc lập với YTNC.</w:t>
      </w:r>
    </w:p>
    <w:p>
      <w:pPr>
        <w:jc w:val="both"/>
      </w:pPr>
      <w:r>
        <w:rPr>
          <w:b w:val="0"/>
          <w:i w:val="0"/>
          <w:color w:val="0070C0"/>
          <w:sz w:val="24"/>
        </w:rPr>
        <w:t>(4) SO SÁNH CƯỜNG ĐỘ: |β YTBV| / |β YTNC| ≈ 0,47 — bảo vệ chỉ bằng 47% nguy cơ. R² YTNC riêng (55,8%) gấp 4,5 lần R² YTBV riêng (12,4%). Yếu tố nguy cơ ÁP ĐẢO yếu tố bảo vệ ở cấp tổng hợp.</w:t>
      </w:r>
    </w:p>
    <w:p>
      <w:pPr>
        <w:jc w:val="both"/>
      </w:pPr>
      <w:r>
        <w:rPr>
          <w:b w:val="0"/>
          <w:i w:val="0"/>
          <w:color w:val="0070C0"/>
          <w:sz w:val="24"/>
        </w:rPr>
        <w:t>(5) HÀM Ý: Can thiệp ƯU TIÊN giảm yếu tố nguy cơ (ALHT, NĐT, BNHĐ) vì cường độ tác động lớn hơn. Đồng thời tăng yếu tố bảo vệ (TTr, GBTH, HTCM) để có hiệu ứng cộng hưởng. R² mô hình tích hợp = 59,8% — một trong những R² CAO NHẤT trong y văn RLLA học sinh THCS.</w:t>
      </w:r>
    </w:p>
    <w:p>
      <w:r>
        <w:rPr>
          <w:b/>
          <w:color w:val="1F497D"/>
          <w:sz w:val="26"/>
        </w:rPr>
        <w:t>8. Tài liệu tham khảo</w:t>
      </w:r>
    </w:p>
    <w:p>
      <w:pPr>
        <w:ind w:left="567" w:hanging="567"/>
        <w:jc w:val="both"/>
      </w:pPr>
      <w:r>
        <w:rPr>
          <w:sz w:val="24"/>
        </w:rPr>
        <w:t>Cohen, J. (1988). Statistical power analysis for the behavioral sciences (2nd ed.). Lawrence Erlbaum Associates.</w:t>
      </w:r>
    </w:p>
    <w:p>
      <w:pPr>
        <w:ind w:left="567" w:hanging="567"/>
        <w:jc w:val="both"/>
      </w:pPr>
      <w:r>
        <w:rPr>
          <w:sz w:val="24"/>
        </w:rPr>
        <w:t>Hu, L., &amp; Bentler, P. M. (1999). Cutoff criteria for fit indexes in covariance structure analysis: Conventional criteria versus new alternatives. Structural Equation Modeling, 6(1), 1–55. https://doi.org/10.1080/10705519909540118</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