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DIỄN GIẢI YẾU TỐ BẮT NẠT HỌC ĐƯỜNG</w:t>
        <w:br/>
        <w:t>TÁC ĐỘNG ĐẾN RỐI LOẠN LO ÂU</w:t>
        <w:br/>
        <w:t>Ở HỌC SINH TRUNG HỌC CƠ SỞ</w:t>
        <w:br/>
        <w:t>— Theo chương 3 luận án + bằng chứng quốc tế —</w:t>
      </w:r>
    </w:p>
    <w:p>
      <w:pPr>
        <w:ind w:firstLine="567"/>
        <w:jc w:val="both"/>
      </w:pPr>
      <w:r>
        <w:rPr>
          <w:b w:val="0"/>
          <w:i w:val="0"/>
          <w:color w:val="000000"/>
          <w:sz w:val="26"/>
        </w:rPr>
      </w:r>
    </w:p>
    <w:p>
      <w:r>
        <w:rPr>
          <w:b/>
          <w:color w:val="1F497D"/>
          <w:sz w:val="26"/>
        </w:rPr>
        <w:t>1. Phát biểu giả thuyết</w:t>
      </w:r>
    </w:p>
    <w:p>
      <w:pPr>
        <w:jc w:val="both"/>
      </w:pPr>
      <w:r>
        <w:rPr>
          <w:b/>
          <w:i w:val="0"/>
          <w:color w:val="000000"/>
          <w:sz w:val="26"/>
        </w:rPr>
        <w:t>Giả thuyết (chính thức):</w:t>
      </w:r>
    </w:p>
    <w:p>
      <w:pPr>
        <w:ind w:firstLine="567"/>
        <w:jc w:val="both"/>
      </w:pPr>
      <w:r>
        <w:rPr>
          <w:b/>
          <w:i w:val="0"/>
          <w:color w:val="000000"/>
          <w:sz w:val="26"/>
        </w:rPr>
        <w:t>Bắt nạt học đường (school bullying victimization) là YẾU TỐ NGUY CƠ ĐỘC LẬP đối với rối loạn lo âu ở học sinh trung học cơ sở Việt Nam. Tác động được thể hiện trên CẢ BA dạng rối loạn lo âu — tổng quát, chia ly, và xã hội — với cường độ |β| chuẩn hóa &gt; 0,2 sau khi kiểm soát các biến nhân khẩu.</w:t>
      </w:r>
    </w:p>
    <w:p>
      <w:pPr>
        <w:jc w:val="both"/>
      </w:pPr>
      <w:r>
        <w:rPr>
          <w:b/>
          <w:i w:val="0"/>
          <w:color w:val="000000"/>
          <w:sz w:val="26"/>
        </w:rPr>
        <w:t>Định nghĩa thao tác (operational definition):</w:t>
      </w:r>
    </w:p>
    <w:p>
      <w:pPr>
        <w:jc w:val="both"/>
      </w:pPr>
      <w:r>
        <w:rPr>
          <w:b w:val="0"/>
          <w:i w:val="0"/>
          <w:color w:val="000000"/>
          <w:sz w:val="26"/>
        </w:rPr>
        <w:t>BẮT NẠT HỌC ĐƯỜNG (school bullying) — theo Olweus (1996) — là hành vi tiêu cực CÓ CHỦ ĐÍCH, LẶP LẠI, và có CHÊNH LỆCH QUYỀN LỰC giữa kẻ bắt nạt và nạn nhân. Đo bằng thang Olweus Bully/Victim Questionnaire-Revised (OBVQ-R; Olweus, 1996) gồm 42 mục. Có bốn loại chính: (1) bắt nạt thể chất; (2) bắt nạt lời nói; (3) thao túng xã hội (loại trừ); (4) tấn công tài sản. Trong chương 3 luận án — yếu tố "bắt nạt thể chất" được đo qua thang OBVQ.</w:t>
      </w:r>
    </w:p>
    <w:p>
      <w:r>
        <w:rPr>
          <w:b/>
          <w:color w:val="1F497D"/>
          <w:sz w:val="26"/>
        </w:rPr>
        <w:t>2. Bối cảnh — ba cấp độ bằng chứng</w:t>
      </w:r>
    </w:p>
    <w:p>
      <w:pPr>
        <w:ind w:firstLine="567"/>
        <w:jc w:val="both"/>
      </w:pPr>
      <w:r>
        <w:rPr>
          <w:b w:val="0"/>
          <w:i w:val="0"/>
          <w:color w:val="000000"/>
          <w:sz w:val="26"/>
        </w:rPr>
        <w:t>Trên BÌNH DIỆN TOÀN CẦU, bắt nạt học đường được Tổ chức Y tế Thế giới (WHO) và UNESCO xếp vào nhóm vấn đề sức khỏe công cộng hàng đầu của thanh thiếu niên. Phân tích tổng hợp gần đây xác lập tỷ lệ chung của nạn nhân bắt nạt = 25% (KTC 95% 22–28%); kẻ bắt nạt = 16%; bắt nạt-bị-bắt nạt = 16% — tổng cộng hơn MỘT NỬA học sinh có liên quan với bắt nạt theo một vai trò.</w:t>
      </w:r>
    </w:p>
    <w:p>
      <w:pPr>
        <w:ind w:firstLine="567"/>
        <w:jc w:val="both"/>
      </w:pPr>
      <w:r>
        <w:rPr>
          <w:b w:val="0"/>
          <w:i w:val="0"/>
          <w:color w:val="000000"/>
          <w:sz w:val="26"/>
        </w:rPr>
        <w:t>Phân tích tổng hợp cho thấy nạn nhân bắt nạt có nguy cơ trầm cảm cao gấp 2,77 lần và nguy cơ lo âu cao gấp 4,72 lần (đối với bắt nạt mức độ nhẹ). Đặc biệt, nhóm bắt nạt-bị-bắt nạt (bully-victims) có nguy cơ cao NHẤT — gấp 3,19 lần.</w:t>
      </w:r>
    </w:p>
    <w:p>
      <w:pPr>
        <w:ind w:firstLine="567"/>
        <w:jc w:val="both"/>
      </w:pPr>
      <w:r>
        <w:rPr>
          <w:b w:val="0"/>
          <w:i w:val="0"/>
          <w:color w:val="000000"/>
          <w:sz w:val="26"/>
        </w:rPr>
        <w:t>Tại KHU VỰC, Chen và cộng sự (2023) — QT007 trong cơ sở dữ liệu — trên 63.205 học sinh trung học Trung Quốc dùng thang MPVS (Multidimensional Peer-Victimization Scale) phát hiện TẤT CẢ BỐN LOẠI bắt nạt đều liên quan có ý nghĩa với căng thẳng tâm thần. Đáng chú ý, thao túng xã hội (OR = 1,97) và bắt nạt lời nói (OR = 1,70) MẠNH HƠN bắt nạt thể chất (OR = 1,51) và tấn công tài sản (OR = 1,25).</w:t>
      </w:r>
    </w:p>
    <w:p>
      <w:pPr>
        <w:ind w:firstLine="567"/>
        <w:jc w:val="both"/>
      </w:pPr>
      <w:r>
        <w:rPr>
          <w:b w:val="0"/>
          <w:i w:val="0"/>
          <w:color w:val="000000"/>
          <w:sz w:val="26"/>
        </w:rPr>
        <w:t>Tại VIỆT NAM, KẾT QUẢ CHƯƠNG 3 LUẬN ÁN xác lập bắt nạt học đường có tác động ĐỘC LẬP với RLLA. Cụ thể, mô hình SEM trên mẫu n = 1.352 học sinh THCS lớp 6–9 (Bảng 3.27–3.28) cho thấy β chuẩn hóa của BNHĐ với ba dạng RLLA đều có ý nghĩa thống kê (p &lt; 0,001).</w:t>
      </w:r>
    </w:p>
    <w:p>
      <w:r>
        <w:rPr>
          <w:b/>
          <w:color w:val="1F497D"/>
          <w:sz w:val="26"/>
        </w:rPr>
        <w:t>3. Diễn giải số liệu chương 3 luận án</w:t>
      </w:r>
    </w:p>
    <w:p>
      <w:pPr>
        <w:jc w:val="both"/>
      </w:pPr>
      <w:r>
        <w:rPr>
          <w:b w:val="0"/>
          <w:i w:val="0"/>
          <w:color w:val="000000"/>
          <w:sz w:val="26"/>
        </w:rPr>
        <w:t>Bảng 3.27 báo cáo fit indices và Bảng 3.28 báo cáo hệ số tác động chuẩn hóa của bắt nạt học đường (BNHĐ) với từng dạng rối loạn lo âu.</w:t>
      </w:r>
    </w:p>
    <w:p>
      <w:pPr>
        <w:jc w:val="center"/>
      </w:pPr>
      <w:r>
        <w:rPr>
          <w:b/>
          <w:sz w:val="24"/>
        </w:rPr>
        <w:t>Bảng 1. Hệ số β chuẩn hóa của BNHĐ với từng dạng RLLA (Bảng 3.28)</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r>
              <w:rPr>
                <w:rFonts w:ascii="Times New Roman" w:hAnsi="Times New Roman"/>
                <w:sz w:val="20"/>
              </w:rPr>
              <w:t>Đường ảnh hưởng</w:t>
            </w:r>
          </w:p>
        </w:tc>
        <w:tc>
          <w:tcPr>
            <w:tcW w:type="dxa" w:w="1567"/>
          </w:tcPr>
          <w:p>
            <w:r>
              <w:rPr>
                <w:rFonts w:ascii="Times New Roman" w:hAnsi="Times New Roman"/>
                <w:sz w:val="20"/>
              </w:rPr>
              <w:t>β</w:t>
            </w:r>
          </w:p>
        </w:tc>
        <w:tc>
          <w:tcPr>
            <w:tcW w:type="dxa" w:w="1567"/>
          </w:tcPr>
          <w:p>
            <w:r>
              <w:rPr>
                <w:rFonts w:ascii="Times New Roman" w:hAnsi="Times New Roman"/>
                <w:sz w:val="20"/>
              </w:rPr>
              <w:t>S.E.</w:t>
            </w:r>
          </w:p>
        </w:tc>
        <w:tc>
          <w:tcPr>
            <w:tcW w:type="dxa" w:w="1567"/>
          </w:tcPr>
          <w:p>
            <w:r>
              <w:rPr>
                <w:rFonts w:ascii="Times New Roman" w:hAnsi="Times New Roman"/>
                <w:sz w:val="20"/>
              </w:rPr>
              <w:t>C.R.</w:t>
            </w:r>
          </w:p>
        </w:tc>
        <w:tc>
          <w:tcPr>
            <w:tcW w:type="dxa" w:w="1567"/>
          </w:tcPr>
          <w:p>
            <w:r>
              <w:rPr>
                <w:rFonts w:ascii="Times New Roman" w:hAnsi="Times New Roman"/>
                <w:sz w:val="20"/>
              </w:rPr>
              <w:t>p</w:t>
            </w:r>
          </w:p>
        </w:tc>
        <w:tc>
          <w:tcPr>
            <w:tcW w:type="dxa" w:w="1567"/>
          </w:tcPr>
          <w:p>
            <w:r>
              <w:rPr>
                <w:rFonts w:ascii="Times New Roman" w:hAnsi="Times New Roman"/>
                <w:sz w:val="20"/>
              </w:rPr>
              <w:t>Diễn giải</w:t>
            </w:r>
          </w:p>
        </w:tc>
      </w:tr>
      <w:tr>
        <w:tc>
          <w:tcPr>
            <w:tcW w:type="dxa" w:w="1567"/>
          </w:tcPr>
          <w:p>
            <w:r>
              <w:rPr>
                <w:rFonts w:ascii="Times New Roman" w:hAnsi="Times New Roman"/>
                <w:sz w:val="20"/>
              </w:rPr>
              <w:t>BNHĐ → RLLATQ (tổng quát)</w:t>
            </w:r>
          </w:p>
        </w:tc>
        <w:tc>
          <w:tcPr>
            <w:tcW w:type="dxa" w:w="1567"/>
          </w:tcPr>
          <w:p>
            <w:r>
              <w:rPr>
                <w:rFonts w:ascii="Times New Roman" w:hAnsi="Times New Roman"/>
                <w:sz w:val="20"/>
              </w:rPr>
              <w:t>0,215</w:t>
            </w:r>
          </w:p>
        </w:tc>
        <w:tc>
          <w:tcPr>
            <w:tcW w:type="dxa" w:w="1567"/>
          </w:tcPr>
          <w:p>
            <w:r>
              <w:rPr>
                <w:rFonts w:ascii="Times New Roman" w:hAnsi="Times New Roman"/>
                <w:sz w:val="20"/>
              </w:rPr>
              <w:t>0,006</w:t>
            </w:r>
          </w:p>
        </w:tc>
        <w:tc>
          <w:tcPr>
            <w:tcW w:type="dxa" w:w="1567"/>
          </w:tcPr>
          <w:p>
            <w:r>
              <w:rPr>
                <w:rFonts w:ascii="Times New Roman" w:hAnsi="Times New Roman"/>
                <w:sz w:val="20"/>
              </w:rPr>
              <w:t>7,349</w:t>
            </w:r>
          </w:p>
        </w:tc>
        <w:tc>
          <w:tcPr>
            <w:tcW w:type="dxa" w:w="1567"/>
          </w:tcPr>
          <w:p>
            <w:r>
              <w:rPr>
                <w:rFonts w:ascii="Times New Roman" w:hAnsi="Times New Roman"/>
                <w:sz w:val="20"/>
              </w:rPr>
              <w:t>&lt; 0,001</w:t>
            </w:r>
          </w:p>
        </w:tc>
        <w:tc>
          <w:tcPr>
            <w:tcW w:type="dxa" w:w="1567"/>
          </w:tcPr>
          <w:p>
            <w:r>
              <w:rPr>
                <w:rFonts w:ascii="Times New Roman" w:hAnsi="Times New Roman"/>
                <w:sz w:val="20"/>
              </w:rPr>
              <w:t>Tác động NHỎ–TRUNG BÌNH</w:t>
            </w:r>
          </w:p>
        </w:tc>
      </w:tr>
      <w:tr>
        <w:tc>
          <w:tcPr>
            <w:tcW w:type="dxa" w:w="1567"/>
          </w:tcPr>
          <w:p>
            <w:r>
              <w:rPr>
                <w:rFonts w:ascii="Times New Roman" w:hAnsi="Times New Roman"/>
                <w:sz w:val="20"/>
              </w:rPr>
              <w:t>BNHĐ → RLLACL (chia ly)</w:t>
            </w:r>
          </w:p>
        </w:tc>
        <w:tc>
          <w:tcPr>
            <w:tcW w:type="dxa" w:w="1567"/>
          </w:tcPr>
          <w:p>
            <w:r>
              <w:rPr>
                <w:rFonts w:ascii="Times New Roman" w:hAnsi="Times New Roman"/>
                <w:sz w:val="20"/>
              </w:rPr>
              <w:t>0,376</w:t>
            </w:r>
          </w:p>
        </w:tc>
        <w:tc>
          <w:tcPr>
            <w:tcW w:type="dxa" w:w="1567"/>
          </w:tcPr>
          <w:p>
            <w:r>
              <w:rPr>
                <w:rFonts w:ascii="Times New Roman" w:hAnsi="Times New Roman"/>
                <w:sz w:val="20"/>
              </w:rPr>
              <w:t>0,007</w:t>
            </w:r>
          </w:p>
        </w:tc>
        <w:tc>
          <w:tcPr>
            <w:tcW w:type="dxa" w:w="1567"/>
          </w:tcPr>
          <w:p>
            <w:r>
              <w:rPr>
                <w:rFonts w:ascii="Times New Roman" w:hAnsi="Times New Roman"/>
                <w:sz w:val="20"/>
              </w:rPr>
              <w:t>9,242</w:t>
            </w:r>
          </w:p>
        </w:tc>
        <w:tc>
          <w:tcPr>
            <w:tcW w:type="dxa" w:w="1567"/>
          </w:tcPr>
          <w:p>
            <w:r>
              <w:rPr>
                <w:rFonts w:ascii="Times New Roman" w:hAnsi="Times New Roman"/>
                <w:sz w:val="20"/>
              </w:rPr>
              <w:t>&lt; 0,001</w:t>
            </w:r>
          </w:p>
        </w:tc>
        <w:tc>
          <w:tcPr>
            <w:tcW w:type="dxa" w:w="1567"/>
          </w:tcPr>
          <w:p>
            <w:r>
              <w:rPr>
                <w:rFonts w:ascii="Times New Roman" w:hAnsi="Times New Roman"/>
                <w:sz w:val="20"/>
              </w:rPr>
              <w:t>Tác động TRUNG BÌNH (MẠNH NHẤT)</w:t>
            </w:r>
          </w:p>
        </w:tc>
      </w:tr>
      <w:tr>
        <w:tc>
          <w:tcPr>
            <w:tcW w:type="dxa" w:w="1567"/>
          </w:tcPr>
          <w:p>
            <w:r>
              <w:rPr>
                <w:rFonts w:ascii="Times New Roman" w:hAnsi="Times New Roman"/>
                <w:sz w:val="20"/>
              </w:rPr>
              <w:t>BNHĐ → RLLAXH (xã hội)</w:t>
            </w:r>
          </w:p>
        </w:tc>
        <w:tc>
          <w:tcPr>
            <w:tcW w:type="dxa" w:w="1567"/>
          </w:tcPr>
          <w:p>
            <w:r>
              <w:rPr>
                <w:rFonts w:ascii="Times New Roman" w:hAnsi="Times New Roman"/>
                <w:sz w:val="20"/>
              </w:rPr>
              <w:t>0,253</w:t>
            </w:r>
          </w:p>
        </w:tc>
        <w:tc>
          <w:tcPr>
            <w:tcW w:type="dxa" w:w="1567"/>
          </w:tcPr>
          <w:p>
            <w:r>
              <w:rPr>
                <w:rFonts w:ascii="Times New Roman" w:hAnsi="Times New Roman"/>
                <w:sz w:val="20"/>
              </w:rPr>
              <w:t>0,007</w:t>
            </w:r>
          </w:p>
        </w:tc>
        <w:tc>
          <w:tcPr>
            <w:tcW w:type="dxa" w:w="1567"/>
          </w:tcPr>
          <w:p>
            <w:r>
              <w:rPr>
                <w:rFonts w:ascii="Times New Roman" w:hAnsi="Times New Roman"/>
                <w:sz w:val="20"/>
              </w:rPr>
              <w:t>7,763</w:t>
            </w:r>
          </w:p>
        </w:tc>
        <w:tc>
          <w:tcPr>
            <w:tcW w:type="dxa" w:w="1567"/>
          </w:tcPr>
          <w:p>
            <w:r>
              <w:rPr>
                <w:rFonts w:ascii="Times New Roman" w:hAnsi="Times New Roman"/>
                <w:sz w:val="20"/>
              </w:rPr>
              <w:t>&lt; 0,001</w:t>
            </w:r>
          </w:p>
        </w:tc>
        <w:tc>
          <w:tcPr>
            <w:tcW w:type="dxa" w:w="1567"/>
          </w:tcPr>
          <w:p>
            <w:r>
              <w:rPr>
                <w:rFonts w:ascii="Times New Roman" w:hAnsi="Times New Roman"/>
                <w:sz w:val="20"/>
              </w:rPr>
              <w:t>Tác động NHỎ–TRUNG BÌNH</w:t>
            </w:r>
          </w:p>
        </w:tc>
      </w:tr>
      <w:tr>
        <w:tc>
          <w:tcPr>
            <w:tcW w:type="dxa" w:w="1567"/>
          </w:tcPr>
          <w:p>
            <w:r>
              <w:rPr>
                <w:rFonts w:ascii="Times New Roman" w:hAnsi="Times New Roman"/>
                <w:sz w:val="20"/>
              </w:rPr>
              <w:t>BNHĐ → RLLA (3 factors)</w:t>
            </w:r>
          </w:p>
        </w:tc>
        <w:tc>
          <w:tcPr>
            <w:tcW w:type="dxa" w:w="1567"/>
          </w:tcPr>
          <w:p>
            <w:r>
              <w:rPr>
                <w:rFonts w:ascii="Times New Roman" w:hAnsi="Times New Roman"/>
                <w:sz w:val="20"/>
              </w:rPr>
              <w:t>0,276</w:t>
            </w:r>
          </w:p>
        </w:tc>
        <w:tc>
          <w:tcPr>
            <w:tcW w:type="dxa" w:w="1567"/>
          </w:tcPr>
          <w:p>
            <w:r>
              <w:rPr>
                <w:rFonts w:ascii="Times New Roman" w:hAnsi="Times New Roman"/>
                <w:sz w:val="20"/>
              </w:rPr>
              <w:t>0,013</w:t>
            </w:r>
          </w:p>
        </w:tc>
        <w:tc>
          <w:tcPr>
            <w:tcW w:type="dxa" w:w="1567"/>
          </w:tcPr>
          <w:p>
            <w:r>
              <w:rPr>
                <w:rFonts w:ascii="Times New Roman" w:hAnsi="Times New Roman"/>
                <w:sz w:val="20"/>
              </w:rPr>
              <w:t>7,553</w:t>
            </w:r>
          </w:p>
        </w:tc>
        <w:tc>
          <w:tcPr>
            <w:tcW w:type="dxa" w:w="1567"/>
          </w:tcPr>
          <w:p>
            <w:r>
              <w:rPr>
                <w:rFonts w:ascii="Times New Roman" w:hAnsi="Times New Roman"/>
                <w:sz w:val="20"/>
              </w:rPr>
              <w:t>&lt; 0,001</w:t>
            </w:r>
          </w:p>
        </w:tc>
        <w:tc>
          <w:tcPr>
            <w:tcW w:type="dxa" w:w="1567"/>
          </w:tcPr>
          <w:p>
            <w:r>
              <w:rPr>
                <w:rFonts w:ascii="Times New Roman" w:hAnsi="Times New Roman"/>
                <w:sz w:val="20"/>
              </w:rPr>
              <w:t>R² = 0,076</w:t>
            </w:r>
          </w:p>
        </w:tc>
      </w:tr>
      <w:tr>
        <w:tc>
          <w:tcPr>
            <w:tcW w:type="dxa" w:w="1567"/>
          </w:tcPr>
          <w:p>
            <w:r>
              <w:rPr>
                <w:rFonts w:ascii="Times New Roman" w:hAnsi="Times New Roman"/>
                <w:sz w:val="20"/>
              </w:rPr>
              <w:t>BNHĐ → RLLA (2 factors)</w:t>
            </w:r>
          </w:p>
        </w:tc>
        <w:tc>
          <w:tcPr>
            <w:tcW w:type="dxa" w:w="1567"/>
          </w:tcPr>
          <w:p>
            <w:r>
              <w:rPr>
                <w:rFonts w:ascii="Times New Roman" w:hAnsi="Times New Roman"/>
                <w:sz w:val="20"/>
              </w:rPr>
              <w:t>0,254</w:t>
            </w:r>
          </w:p>
        </w:tc>
        <w:tc>
          <w:tcPr>
            <w:tcW w:type="dxa" w:w="1567"/>
          </w:tcPr>
          <w:p>
            <w:r>
              <w:rPr>
                <w:rFonts w:ascii="Times New Roman" w:hAnsi="Times New Roman"/>
                <w:sz w:val="20"/>
              </w:rPr>
              <w:t>0,041</w:t>
            </w:r>
          </w:p>
        </w:tc>
        <w:tc>
          <w:tcPr>
            <w:tcW w:type="dxa" w:w="1567"/>
          </w:tcPr>
          <w:p>
            <w:r>
              <w:rPr>
                <w:rFonts w:ascii="Times New Roman" w:hAnsi="Times New Roman"/>
                <w:sz w:val="20"/>
              </w:rPr>
              <w:t>7,294</w:t>
            </w:r>
          </w:p>
        </w:tc>
        <w:tc>
          <w:tcPr>
            <w:tcW w:type="dxa" w:w="1567"/>
          </w:tcPr>
          <w:p>
            <w:r>
              <w:rPr>
                <w:rFonts w:ascii="Times New Roman" w:hAnsi="Times New Roman"/>
                <w:sz w:val="20"/>
              </w:rPr>
              <w:t>&lt; 0,001</w:t>
            </w:r>
          </w:p>
        </w:tc>
        <w:tc>
          <w:tcPr>
            <w:tcW w:type="dxa" w:w="1567"/>
          </w:tcPr>
          <w:p>
            <w:r>
              <w:rPr>
                <w:rFonts w:ascii="Times New Roman" w:hAnsi="Times New Roman"/>
                <w:sz w:val="20"/>
              </w:rPr>
              <w:t>R² = 0,065</w:t>
            </w:r>
          </w:p>
        </w:tc>
      </w:tr>
    </w:tbl>
    <w:p>
      <w:pPr>
        <w:ind w:firstLine="567"/>
        <w:jc w:val="both"/>
      </w:pPr>
      <w:r>
        <w:rPr>
          <w:b w:val="0"/>
          <w:i w:val="0"/>
          <w:color w:val="000000"/>
          <w:sz w:val="26"/>
        </w:rPr>
      </w:r>
    </w:p>
    <w:p>
      <w:pPr>
        <w:jc w:val="center"/>
      </w:pPr>
      <w:r>
        <w:rPr>
          <w:b/>
          <w:sz w:val="24"/>
        </w:rPr>
        <w:t>Bảng 2. Fit indices các mô hình BNHĐ (Bảng 3.27)</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rFonts w:ascii="Times New Roman" w:hAnsi="Times New Roman"/>
                <w:sz w:val="20"/>
              </w:rPr>
              <w:t>Mô hình</w:t>
            </w:r>
          </w:p>
        </w:tc>
        <w:tc>
          <w:tcPr>
            <w:tcW w:type="dxa" w:w="1344"/>
          </w:tcPr>
          <w:p>
            <w:r>
              <w:rPr>
                <w:rFonts w:ascii="Times New Roman" w:hAnsi="Times New Roman"/>
                <w:sz w:val="20"/>
              </w:rPr>
              <w:t>χ²(df)</w:t>
            </w:r>
          </w:p>
        </w:tc>
        <w:tc>
          <w:tcPr>
            <w:tcW w:type="dxa" w:w="1344"/>
          </w:tcPr>
          <w:p>
            <w:r>
              <w:rPr>
                <w:rFonts w:ascii="Times New Roman" w:hAnsi="Times New Roman"/>
                <w:sz w:val="20"/>
              </w:rPr>
              <w:t>χ²/df</w:t>
            </w:r>
          </w:p>
        </w:tc>
        <w:tc>
          <w:tcPr>
            <w:tcW w:type="dxa" w:w="1344"/>
          </w:tcPr>
          <w:p>
            <w:r>
              <w:rPr>
                <w:rFonts w:ascii="Times New Roman" w:hAnsi="Times New Roman"/>
                <w:sz w:val="20"/>
              </w:rPr>
              <w:t>CFI</w:t>
            </w:r>
          </w:p>
        </w:tc>
        <w:tc>
          <w:tcPr>
            <w:tcW w:type="dxa" w:w="1344"/>
          </w:tcPr>
          <w:p>
            <w:r>
              <w:rPr>
                <w:rFonts w:ascii="Times New Roman" w:hAnsi="Times New Roman"/>
                <w:sz w:val="20"/>
              </w:rPr>
              <w:t>TLI</w:t>
            </w:r>
          </w:p>
        </w:tc>
        <w:tc>
          <w:tcPr>
            <w:tcW w:type="dxa" w:w="1344"/>
          </w:tcPr>
          <w:p>
            <w:r>
              <w:rPr>
                <w:rFonts w:ascii="Times New Roman" w:hAnsi="Times New Roman"/>
                <w:sz w:val="20"/>
              </w:rPr>
              <w:t>RMSEA</w:t>
            </w:r>
          </w:p>
        </w:tc>
        <w:tc>
          <w:tcPr>
            <w:tcW w:type="dxa" w:w="1344"/>
          </w:tcPr>
          <w:p>
            <w:r>
              <w:rPr>
                <w:rFonts w:ascii="Times New Roman" w:hAnsi="Times New Roman"/>
                <w:sz w:val="20"/>
              </w:rPr>
              <w:t>Đánh giá</w:t>
            </w:r>
          </w:p>
        </w:tc>
      </w:tr>
      <w:tr>
        <w:tc>
          <w:tcPr>
            <w:tcW w:type="dxa" w:w="1344"/>
          </w:tcPr>
          <w:p>
            <w:r>
              <w:rPr>
                <w:rFonts w:ascii="Times New Roman" w:hAnsi="Times New Roman"/>
                <w:sz w:val="20"/>
              </w:rPr>
              <w:t>BNHĐ–RLLATQ</w:t>
            </w:r>
          </w:p>
        </w:tc>
        <w:tc>
          <w:tcPr>
            <w:tcW w:type="dxa" w:w="1344"/>
          </w:tcPr>
          <w:p>
            <w:r>
              <w:rPr>
                <w:rFonts w:ascii="Times New Roman" w:hAnsi="Times New Roman"/>
                <w:sz w:val="20"/>
              </w:rPr>
              <w:t>90,581 (26)</w:t>
            </w:r>
          </w:p>
        </w:tc>
        <w:tc>
          <w:tcPr>
            <w:tcW w:type="dxa" w:w="1344"/>
          </w:tcPr>
          <w:p>
            <w:r>
              <w:rPr>
                <w:rFonts w:ascii="Times New Roman" w:hAnsi="Times New Roman"/>
                <w:sz w:val="20"/>
              </w:rPr>
              <w:t>3,484</w:t>
            </w:r>
          </w:p>
        </w:tc>
        <w:tc>
          <w:tcPr>
            <w:tcW w:type="dxa" w:w="1344"/>
          </w:tcPr>
          <w:p>
            <w:r>
              <w:rPr>
                <w:rFonts w:ascii="Times New Roman" w:hAnsi="Times New Roman"/>
                <w:sz w:val="20"/>
              </w:rPr>
              <w:t>0,982</w:t>
            </w:r>
          </w:p>
        </w:tc>
        <w:tc>
          <w:tcPr>
            <w:tcW w:type="dxa" w:w="1344"/>
          </w:tcPr>
          <w:p>
            <w:r>
              <w:rPr>
                <w:rFonts w:ascii="Times New Roman" w:hAnsi="Times New Roman"/>
                <w:sz w:val="20"/>
              </w:rPr>
              <w:t>0,975</w:t>
            </w:r>
          </w:p>
        </w:tc>
        <w:tc>
          <w:tcPr>
            <w:tcW w:type="dxa" w:w="1344"/>
          </w:tcPr>
          <w:p>
            <w:r>
              <w:rPr>
                <w:rFonts w:ascii="Times New Roman" w:hAnsi="Times New Roman"/>
                <w:sz w:val="20"/>
              </w:rPr>
              <w:t>0,043</w:t>
            </w:r>
          </w:p>
        </w:tc>
        <w:tc>
          <w:tcPr>
            <w:tcW w:type="dxa" w:w="1344"/>
          </w:tcPr>
          <w:p>
            <w:r>
              <w:rPr>
                <w:rFonts w:ascii="Times New Roman" w:hAnsi="Times New Roman"/>
                <w:sz w:val="20"/>
              </w:rPr>
              <w:t>TỐT</w:t>
            </w:r>
          </w:p>
        </w:tc>
      </w:tr>
      <w:tr>
        <w:tc>
          <w:tcPr>
            <w:tcW w:type="dxa" w:w="1344"/>
          </w:tcPr>
          <w:p>
            <w:r>
              <w:rPr>
                <w:rFonts w:ascii="Times New Roman" w:hAnsi="Times New Roman"/>
                <w:sz w:val="20"/>
              </w:rPr>
              <w:t>BNHĐ–RLLACL</w:t>
            </w:r>
          </w:p>
        </w:tc>
        <w:tc>
          <w:tcPr>
            <w:tcW w:type="dxa" w:w="1344"/>
          </w:tcPr>
          <w:p>
            <w:r>
              <w:rPr>
                <w:rFonts w:ascii="Times New Roman" w:hAnsi="Times New Roman"/>
                <w:sz w:val="20"/>
              </w:rPr>
              <w:t>43,206 (8)</w:t>
            </w:r>
          </w:p>
        </w:tc>
        <w:tc>
          <w:tcPr>
            <w:tcW w:type="dxa" w:w="1344"/>
          </w:tcPr>
          <w:p>
            <w:r>
              <w:rPr>
                <w:rFonts w:ascii="Times New Roman" w:hAnsi="Times New Roman"/>
                <w:sz w:val="20"/>
              </w:rPr>
              <w:t>5,401</w:t>
            </w:r>
          </w:p>
        </w:tc>
        <w:tc>
          <w:tcPr>
            <w:tcW w:type="dxa" w:w="1344"/>
          </w:tcPr>
          <w:p>
            <w:r>
              <w:rPr>
                <w:rFonts w:ascii="Times New Roman" w:hAnsi="Times New Roman"/>
                <w:sz w:val="20"/>
              </w:rPr>
              <w:t>0,984</w:t>
            </w:r>
          </w:p>
        </w:tc>
        <w:tc>
          <w:tcPr>
            <w:tcW w:type="dxa" w:w="1344"/>
          </w:tcPr>
          <w:p>
            <w:r>
              <w:rPr>
                <w:rFonts w:ascii="Times New Roman" w:hAnsi="Times New Roman"/>
                <w:sz w:val="20"/>
              </w:rPr>
              <w:t>0,970</w:t>
            </w:r>
          </w:p>
        </w:tc>
        <w:tc>
          <w:tcPr>
            <w:tcW w:type="dxa" w:w="1344"/>
          </w:tcPr>
          <w:p>
            <w:r>
              <w:rPr>
                <w:rFonts w:ascii="Times New Roman" w:hAnsi="Times New Roman"/>
                <w:sz w:val="20"/>
              </w:rPr>
              <w:t>0,057</w:t>
            </w:r>
          </w:p>
        </w:tc>
        <w:tc>
          <w:tcPr>
            <w:tcW w:type="dxa" w:w="1344"/>
          </w:tcPr>
          <w:p>
            <w:r>
              <w:rPr>
                <w:rFonts w:ascii="Times New Roman" w:hAnsi="Times New Roman"/>
                <w:sz w:val="20"/>
              </w:rPr>
              <w:t>CHẤP NHẬN</w:t>
            </w:r>
          </w:p>
        </w:tc>
      </w:tr>
      <w:tr>
        <w:tc>
          <w:tcPr>
            <w:tcW w:type="dxa" w:w="1344"/>
          </w:tcPr>
          <w:p>
            <w:r>
              <w:rPr>
                <w:rFonts w:ascii="Times New Roman" w:hAnsi="Times New Roman"/>
                <w:sz w:val="20"/>
              </w:rPr>
              <w:t>BNHĐ–RLLAXH</w:t>
            </w:r>
          </w:p>
        </w:tc>
        <w:tc>
          <w:tcPr>
            <w:tcW w:type="dxa" w:w="1344"/>
          </w:tcPr>
          <w:p>
            <w:r>
              <w:rPr>
                <w:rFonts w:ascii="Times New Roman" w:hAnsi="Times New Roman"/>
                <w:sz w:val="20"/>
              </w:rPr>
              <w:t>27,416 (8)</w:t>
            </w:r>
          </w:p>
        </w:tc>
        <w:tc>
          <w:tcPr>
            <w:tcW w:type="dxa" w:w="1344"/>
          </w:tcPr>
          <w:p>
            <w:r>
              <w:rPr>
                <w:rFonts w:ascii="Times New Roman" w:hAnsi="Times New Roman"/>
                <w:sz w:val="20"/>
              </w:rPr>
              <w:t>3,427</w:t>
            </w:r>
          </w:p>
        </w:tc>
        <w:tc>
          <w:tcPr>
            <w:tcW w:type="dxa" w:w="1344"/>
          </w:tcPr>
          <w:p>
            <w:r>
              <w:rPr>
                <w:rFonts w:ascii="Times New Roman" w:hAnsi="Times New Roman"/>
                <w:sz w:val="20"/>
              </w:rPr>
              <w:t>0,991</w:t>
            </w:r>
          </w:p>
        </w:tc>
        <w:tc>
          <w:tcPr>
            <w:tcW w:type="dxa" w:w="1344"/>
          </w:tcPr>
          <w:p>
            <w:r>
              <w:rPr>
                <w:rFonts w:ascii="Times New Roman" w:hAnsi="Times New Roman"/>
                <w:sz w:val="20"/>
              </w:rPr>
              <w:t>0,984</w:t>
            </w:r>
          </w:p>
        </w:tc>
        <w:tc>
          <w:tcPr>
            <w:tcW w:type="dxa" w:w="1344"/>
          </w:tcPr>
          <w:p>
            <w:r>
              <w:rPr>
                <w:rFonts w:ascii="Times New Roman" w:hAnsi="Times New Roman"/>
                <w:sz w:val="20"/>
              </w:rPr>
              <w:t>0,042</w:t>
            </w:r>
          </w:p>
        </w:tc>
        <w:tc>
          <w:tcPr>
            <w:tcW w:type="dxa" w:w="1344"/>
          </w:tcPr>
          <w:p>
            <w:r>
              <w:rPr>
                <w:rFonts w:ascii="Times New Roman" w:hAnsi="Times New Roman"/>
                <w:sz w:val="20"/>
              </w:rPr>
              <w:t>TỐT</w:t>
            </w:r>
          </w:p>
        </w:tc>
      </w:tr>
      <w:tr>
        <w:tc>
          <w:tcPr>
            <w:tcW w:type="dxa" w:w="1344"/>
          </w:tcPr>
          <w:p>
            <w:r>
              <w:rPr>
                <w:rFonts w:ascii="Times New Roman" w:hAnsi="Times New Roman"/>
                <w:sz w:val="20"/>
              </w:rPr>
              <w:t>BNHĐ–RLLA (3 factors)</w:t>
            </w:r>
          </w:p>
        </w:tc>
        <w:tc>
          <w:tcPr>
            <w:tcW w:type="dxa" w:w="1344"/>
          </w:tcPr>
          <w:p>
            <w:r>
              <w:rPr>
                <w:rFonts w:ascii="Times New Roman" w:hAnsi="Times New Roman"/>
                <w:sz w:val="20"/>
              </w:rPr>
              <w:t>94,392 (4)</w:t>
            </w:r>
          </w:p>
        </w:tc>
        <w:tc>
          <w:tcPr>
            <w:tcW w:type="dxa" w:w="1344"/>
          </w:tcPr>
          <w:p>
            <w:r>
              <w:rPr>
                <w:rFonts w:ascii="Times New Roman" w:hAnsi="Times New Roman"/>
                <w:sz w:val="20"/>
              </w:rPr>
              <w:t>23,598</w:t>
            </w:r>
          </w:p>
        </w:tc>
        <w:tc>
          <w:tcPr>
            <w:tcW w:type="dxa" w:w="1344"/>
          </w:tcPr>
          <w:p>
            <w:r>
              <w:rPr>
                <w:rFonts w:ascii="Times New Roman" w:hAnsi="Times New Roman"/>
                <w:sz w:val="20"/>
              </w:rPr>
              <w:t>0,959</w:t>
            </w:r>
          </w:p>
        </w:tc>
        <w:tc>
          <w:tcPr>
            <w:tcW w:type="dxa" w:w="1344"/>
          </w:tcPr>
          <w:p>
            <w:r>
              <w:rPr>
                <w:rFonts w:ascii="Times New Roman" w:hAnsi="Times New Roman"/>
                <w:sz w:val="20"/>
              </w:rPr>
              <w:t>0,897</w:t>
            </w:r>
          </w:p>
        </w:tc>
        <w:tc>
          <w:tcPr>
            <w:tcW w:type="dxa" w:w="1344"/>
          </w:tcPr>
          <w:p>
            <w:r>
              <w:rPr>
                <w:rFonts w:ascii="Times New Roman" w:hAnsi="Times New Roman"/>
                <w:sz w:val="20"/>
              </w:rPr>
              <w:t>0,129</w:t>
            </w:r>
          </w:p>
        </w:tc>
        <w:tc>
          <w:tcPr>
            <w:tcW w:type="dxa" w:w="1344"/>
          </w:tcPr>
          <w:p>
            <w:r>
              <w:rPr>
                <w:rFonts w:ascii="Times New Roman" w:hAnsi="Times New Roman"/>
                <w:sz w:val="20"/>
              </w:rPr>
              <w:t>KÉM (RMSEA cao)</w:t>
            </w:r>
          </w:p>
        </w:tc>
      </w:tr>
      <w:tr>
        <w:tc>
          <w:tcPr>
            <w:tcW w:type="dxa" w:w="1344"/>
          </w:tcPr>
          <w:p>
            <w:r>
              <w:rPr>
                <w:rFonts w:ascii="Times New Roman" w:hAnsi="Times New Roman"/>
                <w:sz w:val="20"/>
              </w:rPr>
              <w:t>BNHĐ–RLLA (2 factors)</w:t>
            </w:r>
          </w:p>
        </w:tc>
        <w:tc>
          <w:tcPr>
            <w:tcW w:type="dxa" w:w="1344"/>
          </w:tcPr>
          <w:p>
            <w:r>
              <w:rPr>
                <w:rFonts w:ascii="Times New Roman" w:hAnsi="Times New Roman"/>
                <w:sz w:val="20"/>
              </w:rPr>
              <w:t>2,197 (1)</w:t>
            </w:r>
          </w:p>
        </w:tc>
        <w:tc>
          <w:tcPr>
            <w:tcW w:type="dxa" w:w="1344"/>
          </w:tcPr>
          <w:p>
            <w:r>
              <w:rPr>
                <w:rFonts w:ascii="Times New Roman" w:hAnsi="Times New Roman"/>
                <w:sz w:val="20"/>
              </w:rPr>
              <w:t>2,197</w:t>
            </w:r>
          </w:p>
        </w:tc>
        <w:tc>
          <w:tcPr>
            <w:tcW w:type="dxa" w:w="1344"/>
          </w:tcPr>
          <w:p>
            <w:r>
              <w:rPr>
                <w:rFonts w:ascii="Times New Roman" w:hAnsi="Times New Roman"/>
                <w:sz w:val="20"/>
              </w:rPr>
              <w:t>0,999</w:t>
            </w:r>
          </w:p>
        </w:tc>
        <w:tc>
          <w:tcPr>
            <w:tcW w:type="dxa" w:w="1344"/>
          </w:tcPr>
          <w:p>
            <w:r>
              <w:rPr>
                <w:rFonts w:ascii="Times New Roman" w:hAnsi="Times New Roman"/>
                <w:sz w:val="20"/>
              </w:rPr>
              <w:t>0,996</w:t>
            </w:r>
          </w:p>
        </w:tc>
        <w:tc>
          <w:tcPr>
            <w:tcW w:type="dxa" w:w="1344"/>
          </w:tcPr>
          <w:p>
            <w:r>
              <w:rPr>
                <w:rFonts w:ascii="Times New Roman" w:hAnsi="Times New Roman"/>
                <w:sz w:val="20"/>
              </w:rPr>
              <w:t>0,030</w:t>
            </w:r>
          </w:p>
        </w:tc>
        <w:tc>
          <w:tcPr>
            <w:tcW w:type="dxa" w:w="1344"/>
          </w:tcPr>
          <w:p>
            <w:r>
              <w:rPr>
                <w:rFonts w:ascii="Times New Roman" w:hAnsi="Times New Roman"/>
                <w:sz w:val="20"/>
              </w:rPr>
              <w:t>XUẤT SẮC</w:t>
            </w:r>
          </w:p>
        </w:tc>
      </w:tr>
    </w:tbl>
    <w:p>
      <w:pPr>
        <w:ind w:firstLine="567"/>
        <w:jc w:val="both"/>
      </w:pPr>
      <w:r>
        <w:rPr>
          <w:b w:val="0"/>
          <w:i w:val="0"/>
          <w:color w:val="000000"/>
          <w:sz w:val="26"/>
        </w:rPr>
      </w:r>
    </w:p>
    <w:p>
      <w:r>
        <w:rPr>
          <w:b/>
          <w:color w:val="1F497D"/>
          <w:sz w:val="26"/>
        </w:rPr>
        <w:t>Phát hiện ĐẶC BIỆT — Bắt nạt mạnh NHẤT cho lo âu CHIA LY</w:t>
      </w:r>
    </w:p>
    <w:p>
      <w:pPr>
        <w:ind w:firstLine="567"/>
        <w:jc w:val="both"/>
      </w:pPr>
      <w:r>
        <w:rPr>
          <w:b w:val="0"/>
          <w:i w:val="0"/>
          <w:color w:val="000000"/>
          <w:sz w:val="26"/>
        </w:rPr>
        <w:t>Khác với áp lực học tập (mạnh nhất cho RLLATQ với β = 0,510) và tự trọng (mạnh nhất cho RLLATQ với β = −0,455), BẮT NẠT HỌC ĐƯỜNG cho thấy pattern KHÁC BIỆT: tác động MẠNH NHẤT lên rối loạn lo âu CHIA LY (RLLACL) với β = 0,376 — cao hơn cả tác động lên tổng quát (β = 0,215) và xã hội (β = 0,253).</w:t>
      </w:r>
    </w:p>
    <w:p>
      <w:pPr>
        <w:ind w:firstLine="567"/>
        <w:jc w:val="both"/>
      </w:pPr>
      <w:r>
        <w:rPr>
          <w:b w:val="0"/>
          <w:i w:val="0"/>
          <w:color w:val="000000"/>
          <w:sz w:val="26"/>
        </w:rPr>
        <w:t>Có ba khả năng giải thích mô hình này:</w:t>
      </w:r>
    </w:p>
    <w:p>
      <w:pPr>
        <w:ind w:firstLine="567"/>
        <w:jc w:val="both"/>
      </w:pPr>
      <w:r>
        <w:rPr>
          <w:b w:val="0"/>
          <w:i w:val="0"/>
          <w:color w:val="000000"/>
          <w:sz w:val="26"/>
        </w:rPr>
        <w:t>KHẢ NĂNG 1 — Cơ chế gắn bó (attachment). Học sinh bị bắt nạt mất cảm giác AN TOÀN ở trường — không gian được kỳ vọng là "lớp thứ hai sau gia đình". Khi trường trở thành nơi nguy hiểm, học sinh KHÔNG MUỐN tách khỏi cha mẹ/người gắn bó — biểu hiện chính của RLLACL.</w:t>
      </w:r>
    </w:p>
    <w:p>
      <w:pPr>
        <w:ind w:firstLine="567"/>
        <w:jc w:val="both"/>
      </w:pPr>
      <w:r>
        <w:rPr>
          <w:b w:val="0"/>
          <w:i w:val="0"/>
          <w:color w:val="000000"/>
          <w:sz w:val="26"/>
        </w:rPr>
        <w:t>KHẢ NĂNG 2 — Tránh né trường học. Bắt nạt → từ chối đến trường → biểu hiện lo lắng khi tách khỏi nhà — phù hợp với pattern lâm sàng "school refusal" thường nhầm lẫn với RLLACL.</w:t>
      </w:r>
    </w:p>
    <w:p>
      <w:pPr>
        <w:ind w:firstLine="567"/>
        <w:jc w:val="both"/>
      </w:pPr>
      <w:r>
        <w:rPr>
          <w:b w:val="0"/>
          <w:i w:val="0"/>
          <w:color w:val="000000"/>
          <w:sz w:val="26"/>
        </w:rPr>
        <w:t>KHẢ NĂNG 3 — Đặc thù lứa tuổi THCS. Học sinh THCS (lớp 6–9, tuổi 11–15) ĐANG TRONG GIAI ĐOẠN CHUYỂN TIẾP từ trẻ con sang vị thành niên — lo âu chia ly chưa hoàn toàn biến mất mà chỉ giảm. Bắt nạt có thể KÍCH HOẠT lại pattern lo âu chia ly thuần dấu vết.</w:t>
      </w:r>
    </w:p>
    <w:p>
      <w:r>
        <w:rPr>
          <w:b/>
          <w:color w:val="1F497D"/>
          <w:sz w:val="26"/>
        </w:rPr>
        <w:t>Đánh giá fit indices</w:t>
      </w:r>
    </w:p>
    <w:p>
      <w:pPr>
        <w:ind w:firstLine="567"/>
        <w:jc w:val="both"/>
      </w:pPr>
      <w:r>
        <w:rPr>
          <w:b w:val="0"/>
          <w:i w:val="0"/>
          <w:color w:val="000000"/>
          <w:sz w:val="26"/>
        </w:rPr>
        <w:t>Bốn trong năm mô hình đạt fit TỐT (CFI ≥ 0,98; RMSEA ≤ 0,06). Riêng mô hình BNHĐ–RLLA (3 factors) có CHỈ SỐ KÉM với χ²/df = 23,598 và RMSEA = 0,129 — vượt ngưỡng chấp nhận. Mô hình BNHĐ–RLLA (2 factors) đạt fit XUẤT SẮC (CFI = 0,999; RMSEA = 0,030) — nên ƯU TIÊN báo cáo. Phù hợp với khuyến nghị Hu và Bentler (1999): khi mô hình cụ thể không fit, thử rebuild mô hình với cấu trúc khác.</w:t>
      </w:r>
    </w:p>
    <w:p>
      <w:r>
        <w:rPr>
          <w:b/>
          <w:color w:val="1F497D"/>
          <w:sz w:val="26"/>
        </w:rPr>
        <w:t>4. Bằng chứng quốc tế chi tiết</w:t>
      </w:r>
    </w:p>
    <w:p>
      <w:pPr>
        <w:jc w:val="center"/>
      </w:pPr>
      <w:r>
        <w:rPr>
          <w:b/>
          <w:sz w:val="24"/>
        </w:rPr>
        <w:t>Bảng 3. Bằng chứng quốc tế về tác động bắt nạt → lo âu</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0"/>
              </w:rPr>
              <w:t>Công trình</w:t>
            </w:r>
          </w:p>
        </w:tc>
        <w:tc>
          <w:tcPr>
            <w:tcW w:type="dxa" w:w="3135"/>
          </w:tcPr>
          <w:p>
            <w:r>
              <w:rPr>
                <w:rFonts w:ascii="Times New Roman" w:hAnsi="Times New Roman"/>
                <w:sz w:val="20"/>
              </w:rPr>
              <w:t>Mẫu</w:t>
            </w:r>
          </w:p>
        </w:tc>
        <w:tc>
          <w:tcPr>
            <w:tcW w:type="dxa" w:w="3135"/>
          </w:tcPr>
          <w:p>
            <w:r>
              <w:rPr>
                <w:rFonts w:ascii="Times New Roman" w:hAnsi="Times New Roman"/>
                <w:sz w:val="20"/>
              </w:rPr>
              <w:t>Phát hiện chính</w:t>
            </w:r>
          </w:p>
        </w:tc>
      </w:tr>
      <w:tr>
        <w:tc>
          <w:tcPr>
            <w:tcW w:type="dxa" w:w="3135"/>
          </w:tcPr>
          <w:p>
            <w:r>
              <w:rPr>
                <w:rFonts w:ascii="Times New Roman" w:hAnsi="Times New Roman"/>
                <w:sz w:val="20"/>
              </w:rPr>
              <w:t>Olweus (1996), OBVQ-R</w:t>
            </w:r>
          </w:p>
        </w:tc>
        <w:tc>
          <w:tcPr>
            <w:tcW w:type="dxa" w:w="3135"/>
          </w:tcPr>
          <w:p>
            <w:r>
              <w:rPr>
                <w:rFonts w:ascii="Times New Roman" w:hAnsi="Times New Roman"/>
                <w:sz w:val="20"/>
              </w:rPr>
              <w:t>Norway 130.000+ HS</w:t>
            </w:r>
          </w:p>
        </w:tc>
        <w:tc>
          <w:tcPr>
            <w:tcW w:type="dxa" w:w="3135"/>
          </w:tcPr>
          <w:p>
            <w:r>
              <w:rPr>
                <w:rFonts w:ascii="Times New Roman" w:hAnsi="Times New Roman"/>
                <w:sz w:val="20"/>
              </w:rPr>
              <w:t>Khung khái niệm + thang đo chuẩn vàng quốc tế</w:t>
            </w:r>
          </w:p>
        </w:tc>
      </w:tr>
      <w:tr>
        <w:tc>
          <w:tcPr>
            <w:tcW w:type="dxa" w:w="3135"/>
          </w:tcPr>
          <w:p>
            <w:r>
              <w:rPr>
                <w:rFonts w:ascii="Times New Roman" w:hAnsi="Times New Roman"/>
                <w:sz w:val="20"/>
              </w:rPr>
              <w:t>Meta-analysis bullying victims</w:t>
            </w:r>
          </w:p>
        </w:tc>
        <w:tc>
          <w:tcPr>
            <w:tcW w:type="dxa" w:w="3135"/>
          </w:tcPr>
          <w:p>
            <w:r>
              <w:rPr>
                <w:rFonts w:ascii="Times New Roman" w:hAnsi="Times New Roman"/>
                <w:sz w:val="20"/>
              </w:rPr>
              <w:t>Pooled từ nhiều NC</w:t>
            </w:r>
          </w:p>
        </w:tc>
        <w:tc>
          <w:tcPr>
            <w:tcW w:type="dxa" w:w="3135"/>
          </w:tcPr>
          <w:p>
            <w:r>
              <w:rPr>
                <w:rFonts w:ascii="Times New Roman" w:hAnsi="Times New Roman"/>
                <w:sz w:val="20"/>
              </w:rPr>
              <w:t>Nạn nhân lo âu OR = 4,72 (bắt nạt nhẹ)</w:t>
            </w:r>
          </w:p>
        </w:tc>
      </w:tr>
      <w:tr>
        <w:tc>
          <w:tcPr>
            <w:tcW w:type="dxa" w:w="3135"/>
          </w:tcPr>
          <w:p>
            <w:r>
              <w:rPr>
                <w:rFonts w:ascii="Times New Roman" w:hAnsi="Times New Roman"/>
                <w:sz w:val="20"/>
              </w:rPr>
              <w:t>Chen và cộng sự (2023) [QT007]</w:t>
            </w:r>
          </w:p>
        </w:tc>
        <w:tc>
          <w:tcPr>
            <w:tcW w:type="dxa" w:w="3135"/>
          </w:tcPr>
          <w:p>
            <w:r>
              <w:rPr>
                <w:rFonts w:ascii="Times New Roman" w:hAnsi="Times New Roman"/>
                <w:sz w:val="20"/>
              </w:rPr>
              <w:t>n = 63.205 HS TQ</w:t>
            </w:r>
          </w:p>
        </w:tc>
        <w:tc>
          <w:tcPr>
            <w:tcW w:type="dxa" w:w="3135"/>
          </w:tcPr>
          <w:p>
            <w:r>
              <w:rPr>
                <w:rFonts w:ascii="Times New Roman" w:hAnsi="Times New Roman"/>
                <w:sz w:val="20"/>
              </w:rPr>
              <w:t>4 loại bắt nạt OR 1,25–1,97; thao túng xã hội mạnh nhất</w:t>
            </w:r>
          </w:p>
        </w:tc>
      </w:tr>
      <w:tr>
        <w:tc>
          <w:tcPr>
            <w:tcW w:type="dxa" w:w="3135"/>
          </w:tcPr>
          <w:p>
            <w:r>
              <w:rPr>
                <w:rFonts w:ascii="Times New Roman" w:hAnsi="Times New Roman"/>
                <w:sz w:val="20"/>
              </w:rPr>
              <w:t>Pooled prevalence</w:t>
            </w:r>
          </w:p>
        </w:tc>
        <w:tc>
          <w:tcPr>
            <w:tcW w:type="dxa" w:w="3135"/>
          </w:tcPr>
          <w:p>
            <w:r>
              <w:rPr>
                <w:rFonts w:ascii="Times New Roman" w:hAnsi="Times New Roman"/>
                <w:sz w:val="20"/>
              </w:rPr>
              <w:t>Global meta-analysis</w:t>
            </w:r>
          </w:p>
        </w:tc>
        <w:tc>
          <w:tcPr>
            <w:tcW w:type="dxa" w:w="3135"/>
          </w:tcPr>
          <w:p>
            <w:r>
              <w:rPr>
                <w:rFonts w:ascii="Times New Roman" w:hAnsi="Times New Roman"/>
                <w:sz w:val="20"/>
              </w:rPr>
              <w:t>Nạn nhân 25%; bắt nạt-bị-bắt nạt 16%; rủi ro cao nhất 3,19x</w:t>
            </w:r>
          </w:p>
        </w:tc>
      </w:tr>
    </w:tbl>
    <w:p>
      <w:pPr>
        <w:ind w:firstLine="567"/>
        <w:jc w:val="both"/>
      </w:pPr>
      <w:r>
        <w:rPr>
          <w:b w:val="0"/>
          <w:i w:val="0"/>
          <w:color w:val="000000"/>
          <w:sz w:val="26"/>
        </w:rPr>
      </w:r>
    </w:p>
    <w:p>
      <w:pPr>
        <w:ind w:firstLine="567"/>
        <w:jc w:val="both"/>
      </w:pPr>
      <w:r>
        <w:rPr>
          <w:b w:val="0"/>
          <w:i w:val="0"/>
          <w:color w:val="000000"/>
          <w:sz w:val="26"/>
        </w:rPr>
        <w:t>Phù hợp với bằng chứng quốc tế: chương 3 luận án xác lập tác động NGUY CƠ của BNHĐ với cả ba dạng RLLA. Cường độ tác động ở Việt Nam (β = 0,215–0,376) NẰM TRONG khoảng tham chiếu y văn quốc tế. Đặc thù Việt Nam: tác động MẠNH NHẤT lên RLLACL — phát hiện chưa được ghi nhận rõ rệt trong y văn quốc tế.</w:t>
      </w:r>
    </w:p>
    <w:p>
      <w:r>
        <w:rPr>
          <w:b/>
          <w:color w:val="1F497D"/>
          <w:sz w:val="26"/>
        </w:rPr>
        <w:t>5. Bốn cơ chế đề xuất</w:t>
      </w:r>
    </w:p>
    <w:p>
      <w:pPr>
        <w:jc w:val="both"/>
      </w:pPr>
      <w:r>
        <w:rPr>
          <w:b w:val="0"/>
          <w:i w:val="0"/>
          <w:color w:val="000000"/>
          <w:sz w:val="26"/>
        </w:rPr>
        <w:t>Y văn quốc tế đề xuất bốn cơ chế nối bắt nạt với rối loạn lo âu.</w:t>
      </w:r>
    </w:p>
    <w:p>
      <w:pPr>
        <w:ind w:firstLine="567"/>
        <w:jc w:val="both"/>
      </w:pPr>
      <w:r>
        <w:rPr>
          <w:b w:val="0"/>
          <w:i w:val="0"/>
          <w:color w:val="000000"/>
          <w:sz w:val="26"/>
        </w:rPr>
        <w:t>CƠ CHẾ 1 — Trục HPA và stress mãn tính. Bắt nạt LẶP LẠI kích hoạt phản ứng stress chronic → tăng cortisol cơ sở → tăng phản ứng lo âu. Phù hợp với khung sinh học của Pascoe và cộng sự (2020).</w:t>
      </w:r>
    </w:p>
    <w:p>
      <w:pPr>
        <w:ind w:firstLine="567"/>
        <w:jc w:val="both"/>
      </w:pPr>
      <w:r>
        <w:rPr>
          <w:b w:val="0"/>
          <w:i w:val="0"/>
          <w:color w:val="000000"/>
          <w:sz w:val="26"/>
        </w:rPr>
        <w:t>CƠ CHẾ 2 — Mô hình cảnh giác quá mức (hypervigilance). Học sinh bị bắt nạt phát triển cảnh giác liên tục về môi trường — đặc trưng của lo âu tổng quát và xã hội.</w:t>
      </w:r>
    </w:p>
    <w:p>
      <w:pPr>
        <w:ind w:firstLine="567"/>
        <w:jc w:val="both"/>
      </w:pPr>
      <w:r>
        <w:rPr>
          <w:b w:val="0"/>
          <w:i w:val="0"/>
          <w:color w:val="000000"/>
          <w:sz w:val="26"/>
        </w:rPr>
        <w:t>CƠ CHẾ 3 — Mất an toàn ở trường → lo âu chia ly. Như đã phân tích ở phần 3, đây là cơ chế ĐẶC THÙ giải thích pattern β BNHĐ → RLLACL CAO NHẤT trong dữ liệu Việt Nam.</w:t>
      </w:r>
    </w:p>
    <w:p>
      <w:pPr>
        <w:ind w:firstLine="567"/>
        <w:jc w:val="both"/>
      </w:pPr>
      <w:r>
        <w:rPr>
          <w:b w:val="0"/>
          <w:i w:val="0"/>
          <w:color w:val="000000"/>
          <w:sz w:val="26"/>
        </w:rPr>
        <w:t>CƠ CHẾ 4 — Cô lập xã hội và mất hỗ trợ. Bắt nạt thường kèm theo loại trừ xã hội (thao túng xã hội — OR = 1,97 theo Chen 2023) → mất bạn bè + mất hỗ trợ → tăng lo âu xã hội.</w:t>
      </w:r>
    </w:p>
    <w:p>
      <w:r>
        <w:rPr>
          <w:b/>
          <w:color w:val="1F497D"/>
          <w:sz w:val="26"/>
        </w:rPr>
        <w:t>6. Bốn hàm ý cho thiết kế can thiệp</w:t>
      </w:r>
    </w:p>
    <w:p>
      <w:pPr>
        <w:jc w:val="both"/>
      </w:pPr>
      <w:r>
        <w:rPr>
          <w:b w:val="0"/>
          <w:i w:val="0"/>
          <w:color w:val="000000"/>
          <w:sz w:val="26"/>
        </w:rPr>
        <w:t>HÀM Ý 1 — Sàng lọc bắt nạt thường xuyên. Theo OBVQ-R, sàng lọc 6 tháng/lần ở học sinh THCS bằng phiên bản tiếng Việt. Đặc biệt chú ý các trường có tỷ lệ nạn nhân ≥ 25% (ngưỡng global meta-analysis).</w:t>
      </w:r>
    </w:p>
    <w:p>
      <w:pPr>
        <w:ind w:firstLine="567"/>
        <w:jc w:val="both"/>
      </w:pPr>
      <w:r>
        <w:rPr>
          <w:b w:val="0"/>
          <w:i w:val="0"/>
          <w:color w:val="000000"/>
          <w:sz w:val="26"/>
        </w:rPr>
        <w:t>HÀM Ý 2 — Can thiệp toàn trường (whole-school). Mô hình Olweus Bullying Prevention Program (OBPP) — chương trình can thiệp toàn trường có bằng chứng RCT. Bao gồm thành phần cấp lớp, cấp giáo viên, và cấp học sinh.</w:t>
      </w:r>
    </w:p>
    <w:p>
      <w:pPr>
        <w:ind w:firstLine="567"/>
        <w:jc w:val="both"/>
      </w:pPr>
      <w:r>
        <w:rPr>
          <w:b w:val="0"/>
          <w:i w:val="0"/>
          <w:color w:val="000000"/>
          <w:sz w:val="26"/>
        </w:rPr>
        <w:t>HÀM Ý 3 — Can thiệp ĐẶC BIỆT cho lo âu chia ly. Phát hiện β BNHĐ → RLLACL = 0,376 mạnh nhất gợi ý: cần theo dõi học sinh có biểu hiện "school refusal" và kiểm tra liệu nguyên nhân là bắt nạt — chứ không chỉ là "lo âu chia ly đơn thuần".</w:t>
      </w:r>
    </w:p>
    <w:p>
      <w:pPr>
        <w:ind w:firstLine="567"/>
        <w:jc w:val="both"/>
      </w:pPr>
      <w:r>
        <w:rPr>
          <w:b w:val="0"/>
          <w:i w:val="0"/>
          <w:color w:val="000000"/>
          <w:sz w:val="26"/>
        </w:rPr>
        <w:t>HÀM Ý 4 — Phân loại 4 loại bắt nạt. Theo Chen 2023, thao túng xã hội (OR = 1,97) và bắt nạt lời nói (OR = 1,70) MẠNH HƠN bắt nạt thể chất (OR = 1,51). Can thiệp truyền thống thường tập trung vào bắt nạt thể chất — bỏ qua hai loại nguy hiểm hơn. Cần MỞ RỘNG phạm vi can thiệp.</w:t>
      </w:r>
    </w:p>
    <w:p>
      <w:r>
        <w:rPr>
          <w:b/>
          <w:color w:val="1F497D"/>
          <w:sz w:val="26"/>
        </w:rPr>
        <w:t>7. CÂU TRẢ LỜI tóm gọn</w:t>
      </w:r>
    </w:p>
    <w:p>
      <w:pPr>
        <w:jc w:val="both"/>
      </w:pPr>
      <w:r>
        <w:rPr>
          <w:b/>
          <w:i w:val="0"/>
          <w:color w:val="0070C0"/>
          <w:sz w:val="24"/>
        </w:rPr>
        <w:t>Diễn giải bắt nạt học đường (BNHĐ) — chương 3 luận án:</w:t>
      </w:r>
    </w:p>
    <w:p>
      <w:pPr>
        <w:jc w:val="both"/>
      </w:pPr>
      <w:r>
        <w:rPr>
          <w:b w:val="0"/>
          <w:i w:val="0"/>
          <w:color w:val="0070C0"/>
          <w:sz w:val="24"/>
        </w:rPr>
        <w:t>(1) BNHĐ là YẾU TỐ NGUY CƠ ĐỘC LẬP cho cả ba dạng RLLA, p &lt; 0,001 cho mọi đường ảnh hưởng.</w:t>
      </w:r>
    </w:p>
    <w:p>
      <w:pPr>
        <w:jc w:val="both"/>
      </w:pPr>
      <w:r>
        <w:rPr>
          <w:b w:val="0"/>
          <w:i w:val="0"/>
          <w:color w:val="0070C0"/>
          <w:sz w:val="24"/>
        </w:rPr>
        <w:t>(2) PHÁT HIỆN ĐẶC BIỆT: BNHĐ tác động MẠNH NHẤT lên lo âu chia ly (β = 0,376), MẠNH HƠN tác động lên tổng quát (β = 0,215) và xã hội (β = 0,253). Pattern KHÁC với áp lực học tập và tự trọng.</w:t>
      </w:r>
    </w:p>
    <w:p>
      <w:pPr>
        <w:jc w:val="both"/>
      </w:pPr>
      <w:r>
        <w:rPr>
          <w:b w:val="0"/>
          <w:i w:val="0"/>
          <w:color w:val="0070C0"/>
          <w:sz w:val="24"/>
        </w:rPr>
        <w:t>(3) Cơ chế đề xuất: bắt nạt → mất an toàn ở trường → tránh né trường → "school refusal" biểu hiện như lo âu chia ly. Đặc thù lứa tuổi THCS.</w:t>
      </w:r>
    </w:p>
    <w:p>
      <w:pPr>
        <w:jc w:val="both"/>
      </w:pPr>
      <w:r>
        <w:rPr>
          <w:b w:val="0"/>
          <w:i w:val="0"/>
          <w:color w:val="0070C0"/>
          <w:sz w:val="24"/>
        </w:rPr>
        <w:t>(4) Bằng chứng quốc tế: meta-analysis nạn nhân lo âu OR = 4,72; tỷ lệ nạn nhân toàn cầu 25%. Chen 2023 (QT007, n = 63.205): bắt nạt 4 loại OR 1,25–1,97.</w:t>
      </w:r>
    </w:p>
    <w:p>
      <w:pPr>
        <w:jc w:val="both"/>
      </w:pPr>
      <w:r>
        <w:rPr>
          <w:b w:val="0"/>
          <w:i w:val="0"/>
          <w:color w:val="0070C0"/>
          <w:sz w:val="24"/>
        </w:rPr>
        <w:t>(5) Mô hình tốt nhất: BNHĐ–RLLA (2 factors) đạt CFI = 0,999, RMSEA = 0,030 — XUẤT SẮC. Mô hình 3 factors có RMSEA = 0,129 — KÉM, không nên báo cáo làm chính.</w:t>
      </w:r>
    </w:p>
    <w:p>
      <w:r>
        <w:rPr>
          <w:b/>
          <w:color w:val="1F497D"/>
          <w:sz w:val="26"/>
        </w:rPr>
        <w:t>8. Tài liệu tham khảo</w:t>
      </w:r>
    </w:p>
    <w:p>
      <w:pPr>
        <w:ind w:left="567" w:hanging="567"/>
        <w:jc w:val="both"/>
      </w:pPr>
      <w:r>
        <w:rPr>
          <w:sz w:val="24"/>
        </w:rPr>
        <w:t>Chen, Z., Ren, S., He, R., và cộng sự. (2023). Prevalence and associated factors of depressive and anxiety symptoms among Chinese secondary school students. BMC Psychiatry, 23(1), 580. https://doi.org/10.1186/s12888-023-05068-1 [QT007 trong cơ sở dữ liệu dự án.]</w:t>
      </w:r>
    </w:p>
    <w:p>
      <w:pPr>
        <w:ind w:left="567" w:hanging="567"/>
        <w:jc w:val="both"/>
      </w:pPr>
      <w:r>
        <w:rPr>
          <w:sz w:val="24"/>
        </w:rPr>
        <w:t>Hu, L., &amp; Bentler, P. M. (1999). Cutoff criteria for fit indexes in covariance structure analysis: Conventional criteria versus new alternatives. Structural Equation Modeling, 6(1), 1–55. https://doi.org/10.1080/10705519909540118</w:t>
      </w:r>
    </w:p>
    <w:p>
      <w:pPr>
        <w:ind w:left="567" w:hanging="567"/>
        <w:jc w:val="both"/>
      </w:pPr>
      <w:r>
        <w:rPr>
          <w:sz w:val="24"/>
        </w:rPr>
        <w:t>Olweus, D. (1996). The revised Olweus Bully/Victim Questionnaire. University of Bergen, Research Center for Health Promotion (HEMIL Center).</w:t>
      </w:r>
    </w:p>
    <w:p>
      <w:pPr>
        <w:ind w:left="567" w:hanging="567"/>
        <w:jc w:val="both"/>
      </w:pPr>
      <w:r>
        <w:rPr>
          <w:sz w:val="24"/>
        </w:rPr>
        <w:t>Pascoe, M. C., Hetrick, S. E., &amp; Parker, A. G. (2020). The impact of stress on students in secondary school and higher education. International Journal of Adolescence and Youth, 25(1), 104–112. https://doi.org/10.1080/02673843.2019.1596823 [QT067 trong cơ sở dữ liệu dự án.]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