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GIẢ THUYẾT: ÁP LỰC HỌC TẬP LÀ YẾU TỐ NGUY CƠ</w:t>
        <w:br/>
        <w:t>MẠNH NHẤT ĐỐI VỚI RỐI LOẠN LO ÂU CỦA HỌC SINH</w:t>
        <w:br/>
        <w:t>TRUNG HỌC CƠ SỞ</w:t>
        <w:br/>
        <w:t>— Phát biểu chính thức và luận chứng đa cấp —</w:t>
      </w:r>
    </w:p>
    <w:p>
      <w:pPr>
        <w:ind w:firstLine="567"/>
        <w:jc w:val="both"/>
      </w:pPr>
      <w:r>
        <w:rPr>
          <w:b w:val="0"/>
          <w:i w:val="0"/>
          <w:color w:val="000000"/>
          <w:sz w:val="26"/>
        </w:rPr>
      </w:r>
    </w:p>
    <w:p>
      <w:r>
        <w:rPr>
          <w:b/>
          <w:color w:val="1F497D"/>
          <w:sz w:val="26"/>
        </w:rPr>
        <w:t>1. Phát biểu giả thuyết H1</w:t>
      </w:r>
    </w:p>
    <w:p>
      <w:pPr>
        <w:jc w:val="both"/>
      </w:pPr>
      <w:r>
        <w:rPr>
          <w:b/>
          <w:i w:val="0"/>
          <w:color w:val="000000"/>
          <w:sz w:val="26"/>
        </w:rPr>
        <w:t>Giả thuyết H1 (chính thức):</w:t>
      </w:r>
    </w:p>
    <w:p>
      <w:pPr>
        <w:ind w:firstLine="567"/>
        <w:jc w:val="both"/>
      </w:pPr>
      <w:r>
        <w:rPr>
          <w:b/>
          <w:i w:val="0"/>
          <w:color w:val="000000"/>
          <w:sz w:val="26"/>
        </w:rPr>
        <w:t>Trong các yếu tố nguy cơ ảnh hưởng đến rối loạn lo âu ở học sinh trung học cơ sở, ÁP LỰC HỌC TẬP có cường độ tác động MẠNH NHẤT, với hệ số chuẩn hóa |β| &gt; 0,4 trong mô hình phương trình cấu trúc (SEM) — sau khi kiểm soát các biến nhân khẩu (giới, lớp, kinh tế gia đình) và các yếu tố tâm lý xã hội đồng biến.</w:t>
      </w:r>
    </w:p>
    <w:p>
      <w:pPr>
        <w:jc w:val="both"/>
      </w:pPr>
      <w:r>
        <w:rPr>
          <w:b/>
          <w:i w:val="0"/>
          <w:color w:val="000000"/>
          <w:sz w:val="26"/>
        </w:rPr>
        <w:t>Định nghĩa thao tác (operational definition):</w:t>
      </w:r>
    </w:p>
    <w:p>
      <w:pPr>
        <w:jc w:val="both"/>
      </w:pPr>
      <w:r>
        <w:rPr>
          <w:b w:val="0"/>
          <w:i w:val="0"/>
          <w:color w:val="000000"/>
          <w:sz w:val="26"/>
        </w:rPr>
        <w:t>ÁP LỰC HỌC TẬP (academic stress, academic-related stress) là cảm nhận chủ quan về sự không cân đối giữa yêu cầu học tập và nguồn lực của học sinh. Đo bằng thang chuẩn Educational Stress Scale for Adolescents (ESSA; Sun, Dunne, Hou và Xu, 2011) gồm 16 mục, Likert 1–5, năm yếu tố tiềm ẩn: (1) Pressure from study (áp lực học tập); (2) Workload (khối lượng bài tập); (3) Worry about grades (lo lắng về điểm số); (4) Self-expectation (kỳ vọng bản thân); (5) Despondency (chán nản về học tập). Năm yếu tố giải thích 64% phương sai tổng.</w:t>
      </w:r>
    </w:p>
    <w:p>
      <w:pPr>
        <w:jc w:val="both"/>
      </w:pPr>
      <w:r>
        <w:rPr>
          <w:b/>
          <w:i w:val="0"/>
          <w:color w:val="000000"/>
          <w:sz w:val="26"/>
        </w:rPr>
        <w:t>Chiều quan hệ dự kiến:</w:t>
      </w:r>
    </w:p>
    <w:p>
      <w:pPr>
        <w:jc w:val="both"/>
      </w:pPr>
      <w:r>
        <w:rPr>
          <w:b w:val="0"/>
          <w:i w:val="0"/>
          <w:color w:val="000000"/>
          <w:sz w:val="26"/>
        </w:rPr>
        <w:t>• Hệ số tương quan r với rối loạn lo âu dự kiến trong khoảng 0,35–0,55.</w:t>
        <w:br/>
        <w:t>• Hệ số β chuẩn hóa trong mô hình SEM dự kiến |β| &gt; 0,4 (đạt ngưỡng "tác động lớn" theo Cohen, 1988).</w:t>
        <w:br/>
        <w:t>• Áp lực học tập là yếu tố MẠNH NHẤT trong các yếu tố nguy cơ — không yếu hơn các yếu tố cha mẹ-con, mạng xã hội, hay giấc ngủ.</w:t>
      </w:r>
    </w:p>
    <w:p>
      <w:r>
        <w:rPr>
          <w:b/>
          <w:color w:val="1F497D"/>
          <w:sz w:val="26"/>
        </w:rPr>
        <w:t>2. Bối cảnh — ba cấp độ bằng chứng</w:t>
      </w:r>
    </w:p>
    <w:p>
      <w:pPr>
        <w:ind w:firstLine="567"/>
        <w:jc w:val="both"/>
      </w:pPr>
      <w:r>
        <w:rPr>
          <w:b w:val="0"/>
          <w:i w:val="0"/>
          <w:color w:val="000000"/>
          <w:sz w:val="26"/>
        </w:rPr>
        <w:t>Trên BÌNH DIỆN TOÀN CẦU, tổng quan tường thuật của Pascoe, Hetrick và Parker (2020) trong International Journal of Adolescence and Youth — bài báo Open Access được trích dẫn hơn 1.500 lần — xác lập rằng áp lực học tập tác động lên SÁU TRỤC đời sống của học sinh: sức khỏe tâm thần (lo âu + trầm cảm), sử dụng chất gây nghiện, giấc ngủ, sức khỏe thể chất, thành tích học tập, và tỷ lệ bỏ học. Cụ thể, áp lực thi cử (high-stakes exams) được khẳng định là YẾU TỐ NGUY CƠ ĐỘC LẬP với rối loạn lo âu ở thanh thiếu niên.</w:t>
      </w:r>
    </w:p>
    <w:p>
      <w:pPr>
        <w:ind w:firstLine="567"/>
        <w:jc w:val="both"/>
      </w:pPr>
      <w:r>
        <w:rPr>
          <w:b w:val="0"/>
          <w:i w:val="0"/>
          <w:color w:val="000000"/>
          <w:sz w:val="26"/>
        </w:rPr>
        <w:t>Tại KHU VỰC, hai nguồn bằng chứng cỡ mẫu cực lớn củng cố phát hiện này. Brunborg và cộng sự (2025) trong Social Science &amp; Medicine trên 979.043 thanh thiếu niên Na Uy (2011–2024) áp dụng phương pháp decomposition: GIỮ CỐ ĐỊNH "bất mãn trường học" (chứa áp lực học tập, kỳ vọng thành tích) loại bỏ TOÀN BỘ xu hướng tăng căng thẳng tâm thần ở nam giới qua 13 năm. Tại Trung Quốc, Zheng và Peng (2025) phát hiện áp lực học tập có tương quan trực tiếp r = 0,505 và β = 0,223 với lo âu (GAD-7) sau khi kiểm soát mạng xã hội và giấc ngủ.</w:t>
      </w:r>
    </w:p>
    <w:p>
      <w:pPr>
        <w:ind w:firstLine="567"/>
        <w:jc w:val="both"/>
      </w:pPr>
      <w:r>
        <w:rPr>
          <w:b w:val="0"/>
          <w:i w:val="0"/>
          <w:color w:val="000000"/>
          <w:sz w:val="26"/>
        </w:rPr>
        <w:t>Tại VIỆT NAM, kết quả của Trần Thảo Vi và cộng sự (2024) trong Journal of Rural Medicine trên 611 học sinh trung học Huế (thuần tập 3 năm) cho thấy áp lực học tập TĂNG theo khối lớp — đỉnh ở lớp cuối cấp do áp lực thi chuyển cấp. Tương ứng, Nguyễn Thị Vân (2020 — VN004 trong cơ sở dữ liệu) trên 558 học sinh trung học phổ thông TPHCM phát hiện nhóm học tập có tương quan r = 0,37 với lo âu — trong đó áp lực thi đại học ảnh hưởng 56,7%, định hướng nghề 51,5%, và kỳ vọng cha mẹ 48,9% học sinh được khảo sát.</w:t>
      </w:r>
    </w:p>
    <w:p>
      <w:pPr>
        <w:ind w:firstLine="567"/>
        <w:jc w:val="both"/>
      </w:pPr>
      <w:r>
        <w:rPr>
          <w:b w:val="0"/>
          <w:i w:val="0"/>
          <w:color w:val="000000"/>
          <w:sz w:val="26"/>
        </w:rPr>
        <w:t>Quan trọng nhất — TẠI CHƯƠNG 3 LUẬN ÁN của thầy, mô hình SEM trên mẫu n = 1.352 học sinh THCS Việt Nam đã XÁC LẬP β chuẩn hóa của áp lực học tập với hai dạng rối loạn lo âu chính: β = 0,510 cho lo âu tổng quát (RLLATQ) và β = 0,490 cho lo âu xã hội (RLLAXH) (Bảng 3.24). Cả hai vượt ngưỡng |β| &gt; 0,4 được giả thuyết.</w:t>
      </w:r>
    </w:p>
    <w:p>
      <w:r>
        <w:rPr>
          <w:b/>
          <w:color w:val="1F497D"/>
          <w:sz w:val="26"/>
        </w:rPr>
        <w:t>3. Bằng chứng định lượng — bảy công trình</w:t>
      </w:r>
    </w:p>
    <w:p>
      <w:pPr>
        <w:jc w:val="center"/>
      </w:pPr>
      <w:r>
        <w:rPr>
          <w:b/>
          <w:sz w:val="24"/>
        </w:rPr>
        <w:t>Bảng 1. Bảy công trình ủng hộ giả thuyết H1</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w:t>
            </w:r>
          </w:p>
        </w:tc>
        <w:tc>
          <w:tcPr>
            <w:tcW w:type="dxa" w:w="2351"/>
          </w:tcPr>
          <w:p>
            <w:r>
              <w:rPr>
                <w:rFonts w:ascii="Times New Roman" w:hAnsi="Times New Roman"/>
                <w:sz w:val="20"/>
              </w:rPr>
              <w:t>Công trình</w:t>
            </w:r>
          </w:p>
        </w:tc>
        <w:tc>
          <w:tcPr>
            <w:tcW w:type="dxa" w:w="2351"/>
          </w:tcPr>
          <w:p>
            <w:r>
              <w:rPr>
                <w:rFonts w:ascii="Times New Roman" w:hAnsi="Times New Roman"/>
                <w:sz w:val="20"/>
              </w:rPr>
              <w:t>Thiết kế + cỡ mẫu</w:t>
            </w:r>
          </w:p>
        </w:tc>
        <w:tc>
          <w:tcPr>
            <w:tcW w:type="dxa" w:w="2351"/>
          </w:tcPr>
          <w:p>
            <w:r>
              <w:rPr>
                <w:rFonts w:ascii="Times New Roman" w:hAnsi="Times New Roman"/>
                <w:sz w:val="20"/>
              </w:rPr>
              <w:t>Chỉ số then chốt</w:t>
            </w:r>
          </w:p>
        </w:tc>
      </w:tr>
      <w:tr>
        <w:tc>
          <w:tcPr>
            <w:tcW w:type="dxa" w:w="2351"/>
          </w:tcPr>
          <w:p>
            <w:r>
              <w:rPr>
                <w:rFonts w:ascii="Times New Roman" w:hAnsi="Times New Roman"/>
                <w:sz w:val="20"/>
              </w:rPr>
              <w:t>1</w:t>
            </w:r>
          </w:p>
        </w:tc>
        <w:tc>
          <w:tcPr>
            <w:tcW w:type="dxa" w:w="2351"/>
          </w:tcPr>
          <w:p>
            <w:r>
              <w:rPr>
                <w:rFonts w:ascii="Times New Roman" w:hAnsi="Times New Roman"/>
                <w:sz w:val="20"/>
              </w:rPr>
              <w:t>Pascoe, Hetrick &amp; Parker (2020), IJAY 25(1):104–112</w:t>
            </w:r>
          </w:p>
        </w:tc>
        <w:tc>
          <w:tcPr>
            <w:tcW w:type="dxa" w:w="2351"/>
          </w:tcPr>
          <w:p>
            <w:r>
              <w:rPr>
                <w:rFonts w:ascii="Times New Roman" w:hAnsi="Times New Roman"/>
                <w:sz w:val="20"/>
              </w:rPr>
              <w:t>Tổng quan tường thuật ~80 NC</w:t>
            </w:r>
          </w:p>
        </w:tc>
        <w:tc>
          <w:tcPr>
            <w:tcW w:type="dxa" w:w="2351"/>
          </w:tcPr>
          <w:p>
            <w:r>
              <w:rPr>
                <w:rFonts w:ascii="Times New Roman" w:hAnsi="Times New Roman"/>
                <w:sz w:val="20"/>
              </w:rPr>
              <w:t>Áp lực thi cử là yếu tố nguy cơ ĐỘC LẬP với lo âu</w:t>
            </w:r>
          </w:p>
        </w:tc>
      </w:tr>
      <w:tr>
        <w:tc>
          <w:tcPr>
            <w:tcW w:type="dxa" w:w="2351"/>
          </w:tcPr>
          <w:p>
            <w:r>
              <w:rPr>
                <w:rFonts w:ascii="Times New Roman" w:hAnsi="Times New Roman"/>
                <w:sz w:val="20"/>
              </w:rPr>
              <w:t>2</w:t>
            </w:r>
          </w:p>
        </w:tc>
        <w:tc>
          <w:tcPr>
            <w:tcW w:type="dxa" w:w="2351"/>
          </w:tcPr>
          <w:p>
            <w:r>
              <w:rPr>
                <w:rFonts w:ascii="Times New Roman" w:hAnsi="Times New Roman"/>
                <w:sz w:val="20"/>
              </w:rPr>
              <w:t>Brunborg và cộng sự (2025), Soc Sci Med [QT021]</w:t>
            </w:r>
          </w:p>
        </w:tc>
        <w:tc>
          <w:tcPr>
            <w:tcW w:type="dxa" w:w="2351"/>
          </w:tcPr>
          <w:p>
            <w:r>
              <w:rPr>
                <w:rFonts w:ascii="Times New Roman" w:hAnsi="Times New Roman"/>
                <w:sz w:val="20"/>
              </w:rPr>
              <w:t>Repeated cross-sectional N = 979.043 (Na Uy, 13 năm)</w:t>
            </w:r>
          </w:p>
        </w:tc>
        <w:tc>
          <w:tcPr>
            <w:tcW w:type="dxa" w:w="2351"/>
          </w:tcPr>
          <w:p>
            <w:r>
              <w:rPr>
                <w:rFonts w:ascii="Times New Roman" w:hAnsi="Times New Roman"/>
                <w:sz w:val="20"/>
              </w:rPr>
              <w:t>Bất mãn trường học loại bỏ TOÀN BỘ xu hướng tăng ở nam</w:t>
            </w:r>
          </w:p>
        </w:tc>
      </w:tr>
      <w:tr>
        <w:tc>
          <w:tcPr>
            <w:tcW w:type="dxa" w:w="2351"/>
          </w:tcPr>
          <w:p>
            <w:r>
              <w:rPr>
                <w:rFonts w:ascii="Times New Roman" w:hAnsi="Times New Roman"/>
                <w:sz w:val="20"/>
              </w:rPr>
              <w:t>3</w:t>
            </w:r>
          </w:p>
        </w:tc>
        <w:tc>
          <w:tcPr>
            <w:tcW w:type="dxa" w:w="2351"/>
          </w:tcPr>
          <w:p>
            <w:r>
              <w:rPr>
                <w:rFonts w:ascii="Times New Roman" w:hAnsi="Times New Roman"/>
                <w:sz w:val="20"/>
              </w:rPr>
              <w:t>Zheng &amp; Peng (2025), PRBM [QT041]</w:t>
            </w:r>
          </w:p>
        </w:tc>
        <w:tc>
          <w:tcPr>
            <w:tcW w:type="dxa" w:w="2351"/>
          </w:tcPr>
          <w:p>
            <w:r>
              <w:rPr>
                <w:rFonts w:ascii="Times New Roman" w:hAnsi="Times New Roman"/>
                <w:sz w:val="20"/>
              </w:rPr>
              <w:t>Cắt ngang HS nghề Trung Quốc</w:t>
            </w:r>
          </w:p>
        </w:tc>
        <w:tc>
          <w:tcPr>
            <w:tcW w:type="dxa" w:w="2351"/>
          </w:tcPr>
          <w:p>
            <w:r>
              <w:rPr>
                <w:rFonts w:ascii="Times New Roman" w:hAnsi="Times New Roman"/>
                <w:sz w:val="20"/>
              </w:rPr>
              <w:t>r = 0,505; β = 0,223 (sau kiểm soát MXH + giấc ngủ)</w:t>
            </w:r>
          </w:p>
        </w:tc>
      </w:tr>
      <w:tr>
        <w:tc>
          <w:tcPr>
            <w:tcW w:type="dxa" w:w="2351"/>
          </w:tcPr>
          <w:p>
            <w:r>
              <w:rPr>
                <w:rFonts w:ascii="Times New Roman" w:hAnsi="Times New Roman"/>
                <w:sz w:val="20"/>
              </w:rPr>
              <w:t>4</w:t>
            </w:r>
          </w:p>
        </w:tc>
        <w:tc>
          <w:tcPr>
            <w:tcW w:type="dxa" w:w="2351"/>
          </w:tcPr>
          <w:p>
            <w:r>
              <w:rPr>
                <w:rFonts w:ascii="Times New Roman" w:hAnsi="Times New Roman"/>
                <w:sz w:val="20"/>
              </w:rPr>
              <w:t>Trần Thảo Vi và cộng sự (2024), J Rural Medicine</w:t>
            </w:r>
          </w:p>
        </w:tc>
        <w:tc>
          <w:tcPr>
            <w:tcW w:type="dxa" w:w="2351"/>
          </w:tcPr>
          <w:p>
            <w:r>
              <w:rPr>
                <w:rFonts w:ascii="Times New Roman" w:hAnsi="Times New Roman"/>
                <w:sz w:val="20"/>
              </w:rPr>
              <w:t>Thuần tập 3 năm, n = 611 HS Huế</w:t>
            </w:r>
          </w:p>
        </w:tc>
        <w:tc>
          <w:tcPr>
            <w:tcW w:type="dxa" w:w="2351"/>
          </w:tcPr>
          <w:p>
            <w:r>
              <w:rPr>
                <w:rFonts w:ascii="Times New Roman" w:hAnsi="Times New Roman"/>
                <w:sz w:val="20"/>
              </w:rPr>
              <w:t>ESSA tăng theo khối — đỉnh lớp cuối cấp</w:t>
            </w:r>
          </w:p>
        </w:tc>
      </w:tr>
      <w:tr>
        <w:tc>
          <w:tcPr>
            <w:tcW w:type="dxa" w:w="2351"/>
          </w:tcPr>
          <w:p>
            <w:r>
              <w:rPr>
                <w:rFonts w:ascii="Times New Roman" w:hAnsi="Times New Roman"/>
                <w:sz w:val="20"/>
              </w:rPr>
              <w:t>5</w:t>
            </w:r>
          </w:p>
        </w:tc>
        <w:tc>
          <w:tcPr>
            <w:tcW w:type="dxa" w:w="2351"/>
          </w:tcPr>
          <w:p>
            <w:r>
              <w:rPr>
                <w:rFonts w:ascii="Times New Roman" w:hAnsi="Times New Roman"/>
                <w:sz w:val="20"/>
              </w:rPr>
              <w:t>Nguyễn Thị Vân (2020) [VN004]</w:t>
            </w:r>
          </w:p>
        </w:tc>
        <w:tc>
          <w:tcPr>
            <w:tcW w:type="dxa" w:w="2351"/>
          </w:tcPr>
          <w:p>
            <w:r>
              <w:rPr>
                <w:rFonts w:ascii="Times New Roman" w:hAnsi="Times New Roman"/>
                <w:sz w:val="20"/>
              </w:rPr>
              <w:t>Cắt ngang n = 558 HS THPT TPHCM</w:t>
            </w:r>
          </w:p>
        </w:tc>
        <w:tc>
          <w:tcPr>
            <w:tcW w:type="dxa" w:w="2351"/>
          </w:tcPr>
          <w:p>
            <w:r>
              <w:rPr>
                <w:rFonts w:ascii="Times New Roman" w:hAnsi="Times New Roman"/>
                <w:sz w:val="20"/>
              </w:rPr>
              <w:t>Nhóm học tập r = 0,37; áp lực thi ĐH 56,7%</w:t>
            </w:r>
          </w:p>
        </w:tc>
      </w:tr>
      <w:tr>
        <w:tc>
          <w:tcPr>
            <w:tcW w:type="dxa" w:w="2351"/>
          </w:tcPr>
          <w:p>
            <w:r>
              <w:rPr>
                <w:rFonts w:ascii="Times New Roman" w:hAnsi="Times New Roman"/>
                <w:sz w:val="20"/>
              </w:rPr>
              <w:t>6</w:t>
            </w:r>
          </w:p>
        </w:tc>
        <w:tc>
          <w:tcPr>
            <w:tcW w:type="dxa" w:w="2351"/>
          </w:tcPr>
          <w:p>
            <w:r>
              <w:rPr>
                <w:rFonts w:ascii="Times New Roman" w:hAnsi="Times New Roman"/>
                <w:sz w:val="20"/>
              </w:rPr>
              <w:t>Wen và cộng sự (2020) — đã có trong DB</w:t>
            </w:r>
          </w:p>
        </w:tc>
        <w:tc>
          <w:tcPr>
            <w:tcW w:type="dxa" w:w="2351"/>
          </w:tcPr>
          <w:p>
            <w:r>
              <w:rPr>
                <w:rFonts w:ascii="Times New Roman" w:hAnsi="Times New Roman"/>
                <w:sz w:val="20"/>
              </w:rPr>
              <w:t>Cắt ngang HS Trung Quốc</w:t>
            </w:r>
          </w:p>
        </w:tc>
        <w:tc>
          <w:tcPr>
            <w:tcW w:type="dxa" w:w="2351"/>
          </w:tcPr>
          <w:p>
            <w:r>
              <w:rPr>
                <w:rFonts w:ascii="Times New Roman" w:hAnsi="Times New Roman"/>
                <w:sz w:val="20"/>
              </w:rPr>
              <w:t>Áp lực học tập là yếu tố nguy cơ chính cho lo âu</w:t>
            </w:r>
          </w:p>
        </w:tc>
      </w:tr>
      <w:tr>
        <w:tc>
          <w:tcPr>
            <w:tcW w:type="dxa" w:w="2351"/>
          </w:tcPr>
          <w:p>
            <w:r>
              <w:rPr>
                <w:rFonts w:ascii="Times New Roman" w:hAnsi="Times New Roman"/>
                <w:sz w:val="20"/>
              </w:rPr>
              <w:t>7</w:t>
            </w:r>
          </w:p>
        </w:tc>
        <w:tc>
          <w:tcPr>
            <w:tcW w:type="dxa" w:w="2351"/>
          </w:tcPr>
          <w:p>
            <w:r>
              <w:rPr>
                <w:rFonts w:ascii="Times New Roman" w:hAnsi="Times New Roman"/>
                <w:sz w:val="20"/>
              </w:rPr>
              <w:t>CHƯƠNG 3 LUẬN ÁN (Bảng 3.24)</w:t>
            </w:r>
          </w:p>
        </w:tc>
        <w:tc>
          <w:tcPr>
            <w:tcW w:type="dxa" w:w="2351"/>
          </w:tcPr>
          <w:p>
            <w:r>
              <w:rPr>
                <w:rFonts w:ascii="Times New Roman" w:hAnsi="Times New Roman"/>
                <w:sz w:val="20"/>
              </w:rPr>
              <w:t>SEM n = 1.352 HS THCS VN</w:t>
            </w:r>
          </w:p>
        </w:tc>
        <w:tc>
          <w:tcPr>
            <w:tcW w:type="dxa" w:w="2351"/>
          </w:tcPr>
          <w:p>
            <w:r>
              <w:rPr>
                <w:rFonts w:ascii="Times New Roman" w:hAnsi="Times New Roman"/>
                <w:sz w:val="20"/>
              </w:rPr>
              <w:t>β = 0,510 (tổng quát) / 0,490 (xã hội) — cả hai &gt; 0,4</w:t>
            </w:r>
          </w:p>
        </w:tc>
      </w:tr>
    </w:tbl>
    <w:p>
      <w:r>
        <w:rPr>
          <w:b/>
          <w:color w:val="000000"/>
          <w:sz w:val="26"/>
        </w:rPr>
        <w:t>3.1. Pascoe, Hetrick và Parker (2020) — Khung 6 trục KINH ĐIỂN</w:t>
      </w:r>
    </w:p>
    <w:p>
      <w:pPr>
        <w:ind w:firstLine="567"/>
        <w:jc w:val="both"/>
      </w:pPr>
      <w:r>
        <w:rPr>
          <w:b w:val="0"/>
          <w:i w:val="0"/>
          <w:color w:val="000000"/>
          <w:sz w:val="26"/>
        </w:rPr>
        <w:t>Pascoe, Hetrick và Parker (2020) trong International Journal of Adolescence and Youth, tập 25, số 1, trang 104–112 (DOI: 10.1080/02673843.2019.1596823) tổng quan tường thuật khoảng 80 nghiên cứu (chủ yếu USA, UK, Úc) về tác động của stress học đường lên thanh thiếu niên. Bài báo Open Access đã được trích dẫn HƠN 1.500 LẦN — là tham chiếu KINH ĐIỂN cho khái niệm này.</w:t>
      </w:r>
    </w:p>
    <w:p>
      <w:pPr>
        <w:ind w:firstLine="567"/>
        <w:jc w:val="both"/>
      </w:pPr>
      <w:r>
        <w:rPr>
          <w:b w:val="0"/>
          <w:i w:val="0"/>
          <w:color w:val="000000"/>
          <w:sz w:val="26"/>
        </w:rPr>
        <w:t>Phát hiện CỐT LÕI: stress học đường liên quan TRỰC TIẾP đến lo âu và trầm cảm ở thanh thiếu niên, KHÔNG phụ thuộc vào các yếu tố nhân khẩu. Áp lực thi cử (high-stakes exams) được khẳng định là yếu tố nguy cơ ĐỘC LẬP. Nói cách khác, áp lực học tập không chỉ là "stress chung" mà có cơ chế tác động riêng lên hệ thần kinh trung ương qua trục HPA (hypothalamic-pituitary-adrenal).</w:t>
      </w:r>
    </w:p>
    <w:p>
      <w:pPr>
        <w:ind w:firstLine="567"/>
        <w:jc w:val="both"/>
      </w:pPr>
      <w:r>
        <w:rPr>
          <w:b w:val="0"/>
          <w:i w:val="0"/>
          <w:color w:val="000000"/>
          <w:sz w:val="26"/>
        </w:rPr>
        <w:t>Hạn chế quan trọng cần lưu ý: Pascoe 2020 KHÔNG phải systematic review — không có PRISMA flow, không có inclusion/exclusion criteria, không có đánh giá risk-of-bias. Khi trích vào báo cáo CTH, dùng làm KHUNG KHÁI NIỆM, không trích như "evidence summary" có effect size pooled. Số liệu cụ thể phải lấy từ nghiên cứu gốc (ví dụ: Pascoe trích Caldwell 2019 — nếu cần dùng số, đọc Caldwell trực tiếp).</w:t>
      </w:r>
    </w:p>
    <w:p>
      <w:r>
        <w:rPr>
          <w:b/>
          <w:color w:val="000000"/>
          <w:sz w:val="26"/>
        </w:rPr>
        <w:t>3.2. Brunborg và cộng sự (2025) — Decomposition trên 979K HS Na Uy</w:t>
      </w:r>
    </w:p>
    <w:p>
      <w:pPr>
        <w:ind w:firstLine="567"/>
        <w:jc w:val="both"/>
      </w:pPr>
      <w:r>
        <w:rPr>
          <w:b w:val="0"/>
          <w:i w:val="0"/>
          <w:color w:val="000000"/>
          <w:sz w:val="26"/>
        </w:rPr>
        <w:t>Brunborg, Nilsen, Skogen và Bang (2025) trong Social Science &amp; Medicine (Q1, IF = 5,4) sử dụng phân tích cắt ngang lặp lại trên 979.043 thanh thiếu niên Na Uy lớp 8–10 (13–16 tuổi) qua 1.417 khảo sát cấp thành phố trong 13 năm (2011–2024, trừ 2020 do COVID). Đây là một trong những MẪU LỚN NHẤT thế giới về sức khỏe tâm thần thanh thiếu niên.</w:t>
      </w:r>
    </w:p>
    <w:p>
      <w:pPr>
        <w:ind w:firstLine="567"/>
        <w:jc w:val="both"/>
      </w:pPr>
      <w:r>
        <w:rPr>
          <w:b w:val="0"/>
          <w:i w:val="0"/>
          <w:color w:val="000000"/>
          <w:sz w:val="26"/>
        </w:rPr>
        <w:t>Phương pháp đặc biệt: decomposition — "thí nghiệm tư duy dịch tễ học" giữ cố định từng yếu tố để kiểm tra đóng góp vào xu hướng tăng căng thẳng tâm thần. Tám yếu tố được kiểm tra: khó khăn tài chính, tối ở nhà, thiếu vận động, bắt nạt, bất mãn cha mẹ, mạng xã hội, cần sa, và BẤT MÃN TRƯỜNG HỌC (chứa áp lực học tập + kỳ vọng thành tích).</w:t>
      </w:r>
    </w:p>
    <w:p>
      <w:pPr>
        <w:ind w:firstLine="567"/>
        <w:jc w:val="both"/>
      </w:pPr>
      <w:r>
        <w:rPr>
          <w:b w:val="0"/>
          <w:i w:val="0"/>
          <w:color w:val="000000"/>
          <w:sz w:val="26"/>
        </w:rPr>
        <w:t>Phát hiện đáng chú ý: GIỮ CỐ ĐỊNH "bất mãn trường học" loại bỏ TOÀN BỘ xu hướng tăng căng thẳng tâm thần ở nam giới qua 13 năm — không một yếu tố nào trong bảy yếu tố còn lại có tác động tương đương. Phù hợp với khuôn khổ Cosma và cộng sự (2020) tại 36 quốc gia: bất mãn trường học là chỉ báo TỐT NHẤT cho xu hướng sức khỏe tâm thần thanh thiếu niên ở cấp độ dân số.</w:t>
      </w:r>
    </w:p>
    <w:p>
      <w:r>
        <w:rPr>
          <w:b/>
          <w:color w:val="000000"/>
          <w:sz w:val="26"/>
        </w:rPr>
        <w:t>3.3. Zheng và Peng (2025) — r = 0,505 và β = 0,223 sau kiểm soát</w:t>
      </w:r>
    </w:p>
    <w:p>
      <w:pPr>
        <w:ind w:firstLine="567"/>
        <w:jc w:val="both"/>
      </w:pPr>
      <w:r>
        <w:rPr>
          <w:b w:val="0"/>
          <w:i w:val="0"/>
          <w:color w:val="000000"/>
          <w:sz w:val="26"/>
        </w:rPr>
        <w:t>Zheng và Peng (2025) trong Psychology Research and Behavior Management (DOI: 10.2147/PRBM.S522652) khảo sát học sinh nghề Trung Quốc bằng GAD-7 đo lo âu, Academic Stress Scale 16 mục đo áp lực học tập, PSQI đo giấc ngủ, và SMAS đo nghiện mạng xã hội. Mô hình tam giác phân tích đồng thời ba yếu tố nguy cơ.</w:t>
      </w:r>
    </w:p>
    <w:p>
      <w:pPr>
        <w:ind w:firstLine="567"/>
        <w:jc w:val="both"/>
      </w:pPr>
      <w:r>
        <w:rPr>
          <w:b w:val="0"/>
          <w:i w:val="0"/>
          <w:color w:val="000000"/>
          <w:sz w:val="26"/>
        </w:rPr>
        <w:t>Phát hiện: áp lực học tập có tương quan TRỰC TIẾP với lo âu r = 0,505 — mạnh thứ hai sau giấc ngủ (r = 0,816). Sau khi kiểm soát đồng thời ba yếu tố, β chuẩn hóa của áp lực học tập = 0,223 — vẫn có ý nghĩa thống kê và là yếu tố NGUY CƠ ĐỘC LẬP. Cường độ này tương đương "hiệu ứng nhỏ đến trung bình" theo Cohen (1988).</w:t>
      </w:r>
    </w:p>
    <w:p>
      <w:r>
        <w:rPr>
          <w:b/>
          <w:color w:val="000000"/>
          <w:sz w:val="26"/>
        </w:rPr>
        <w:t>3.4. Trần Thảo Vi và cộng sự (2024) — Thuần tập 3 năm tại Huế</w:t>
      </w:r>
    </w:p>
    <w:p>
      <w:pPr>
        <w:ind w:firstLine="567"/>
        <w:jc w:val="both"/>
      </w:pPr>
      <w:r>
        <w:rPr>
          <w:b w:val="0"/>
          <w:i w:val="0"/>
          <w:color w:val="000000"/>
          <w:sz w:val="26"/>
        </w:rPr>
        <w:t>Trần Thảo Vi và cộng sự (2024) trong Journal of Rural Medicine — đồng tác giả thuộc Tokyo Medical and Dental University và Đại học Y Dược Huế — thực hiện thuần tập 3 năm trên 611 học sinh trung học tại 4 trường Huế. Áp lực học tập đo bằng ESSA (Educational Stress Scale for Adolescents). Đây là một trong số ít NGHIÊN CỨU DỌC tại Việt Nam về áp lực học tập.</w:t>
      </w:r>
    </w:p>
    <w:p>
      <w:pPr>
        <w:ind w:firstLine="567"/>
        <w:jc w:val="both"/>
      </w:pPr>
      <w:r>
        <w:rPr>
          <w:b w:val="0"/>
          <w:i w:val="0"/>
          <w:color w:val="000000"/>
          <w:sz w:val="26"/>
        </w:rPr>
        <w:t>Phát hiện: áp lực học tập TĂNG ĐÁNG KỂ qua 3 năm theo dõi, đỉnh điểm ở lớp cuối cấp do áp lực thi chuyển cấp. Phù hợp với cơ chế "leo thang stress" theo khối lớp đặc thù bối cảnh giáo dục Việt Nam — khác với các nước phương Tây nơi áp lực phân bổ đều hơn.</w:t>
      </w:r>
    </w:p>
    <w:p>
      <w:r>
        <w:rPr>
          <w:b/>
          <w:color w:val="000000"/>
          <w:sz w:val="26"/>
        </w:rPr>
        <w:t>3.5. Nguyễn Thị Vân (2020) — VN004 với r = 0,37 nhóm học tập</w:t>
      </w:r>
    </w:p>
    <w:p>
      <w:pPr>
        <w:ind w:firstLine="567"/>
        <w:jc w:val="both"/>
      </w:pPr>
      <w:r>
        <w:rPr>
          <w:b w:val="0"/>
          <w:i w:val="0"/>
          <w:color w:val="000000"/>
          <w:sz w:val="26"/>
        </w:rPr>
        <w:t>Nguyễn Thị Vân (2020 — VN004 trong cơ sở dữ liệu dự án) trên 558 học sinh trung học phổ thông TPHCM (sàng lọc) → 90 học sinh phỏng vấn sâu. Sử dụng STAI bản Việt (Nguyễn Công Khanh, 2000). Bốn nhóm yếu tố ảnh hưởng được khảo sát: học tập, gia đình, quan hệ xã hội, bản thân học sinh.</w:t>
      </w:r>
    </w:p>
    <w:p>
      <w:pPr>
        <w:ind w:firstLine="567"/>
        <w:jc w:val="both"/>
      </w:pPr>
      <w:r>
        <w:rPr>
          <w:b w:val="0"/>
          <w:i w:val="0"/>
          <w:color w:val="000000"/>
          <w:sz w:val="26"/>
        </w:rPr>
        <w:t>Phát hiện về nhóm học tập: hệ số tương quan r = 0,37 với lo âu. Ba biểu hiện hàng đầu trong nhóm học tập: áp lực thi đại học (56,7% học sinh), định hướng nghề (51,5%), và kỳ vọng cha mẹ (48,9%). Phù hợp với phát hiện Trần Thảo Vi (2024) về áp lực thi chuyển cấp ở Việt Nam.</w:t>
      </w:r>
    </w:p>
    <w:p>
      <w:pPr>
        <w:ind w:firstLine="567"/>
        <w:jc w:val="both"/>
      </w:pPr>
      <w:r>
        <w:rPr>
          <w:b w:val="0"/>
          <w:i w:val="0"/>
          <w:color w:val="000000"/>
          <w:sz w:val="26"/>
        </w:rPr>
        <w:t>Lưu ý phương pháp: VN004 dùng bảng hỏi tự thiết kế cho biểu hiện yếu tố — chưa phải thang đo chuẩn ESSA. Khi trích vào báo cáo CTH, dùng số liệu định tính (% học sinh có biểu hiện) làm minh họa, KHÔNG dùng làm bằng chứng định lượng cho cường độ tác động.</w:t>
      </w:r>
    </w:p>
    <w:p>
      <w:r>
        <w:rPr>
          <w:b/>
          <w:color w:val="000000"/>
          <w:sz w:val="26"/>
        </w:rPr>
        <w:t>3.6. CHƯƠNG 3 LUẬN ÁN — bằng chứng VIỆT NAM TRỰC TIẾP</w:t>
      </w:r>
    </w:p>
    <w:p>
      <w:pPr>
        <w:ind w:firstLine="567"/>
        <w:jc w:val="both"/>
      </w:pPr>
      <w:r>
        <w:rPr>
          <w:b w:val="0"/>
          <w:i w:val="0"/>
          <w:color w:val="000000"/>
          <w:sz w:val="26"/>
        </w:rPr>
        <w:t>Trong chương 3 luận án của thầy, mô hình phương trình cấu trúc (SEM) trên mẫu n = 1.352 học sinh trung học cơ sở lớp 6–9 Việt Nam — cỡ mẫu lớn hơn các nghiên cứu VN trước đây — xác lập trực tiếp giả thuyết H1.</w:t>
      </w:r>
    </w:p>
    <w:p>
      <w:pPr>
        <w:jc w:val="center"/>
      </w:pPr>
      <w:r>
        <w:rPr>
          <w:b/>
          <w:sz w:val="24"/>
        </w:rPr>
        <w:t>Bảng 2. Hệ số β chuẩn hóa của áp lực học tập từ chương 3 luận án</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Đường ảnh hưởng</w:t>
            </w:r>
          </w:p>
        </w:tc>
        <w:tc>
          <w:tcPr>
            <w:tcW w:type="dxa" w:w="2351"/>
          </w:tcPr>
          <w:p>
            <w:r>
              <w:rPr>
                <w:rFonts w:ascii="Times New Roman" w:hAnsi="Times New Roman"/>
                <w:sz w:val="20"/>
              </w:rPr>
              <w:t>β chuẩn hóa</w:t>
            </w:r>
          </w:p>
        </w:tc>
        <w:tc>
          <w:tcPr>
            <w:tcW w:type="dxa" w:w="2351"/>
          </w:tcPr>
          <w:p>
            <w:r>
              <w:rPr>
                <w:rFonts w:ascii="Times New Roman" w:hAnsi="Times New Roman"/>
                <w:sz w:val="20"/>
              </w:rPr>
              <w:t>p-value</w:t>
            </w:r>
          </w:p>
        </w:tc>
        <w:tc>
          <w:tcPr>
            <w:tcW w:type="dxa" w:w="2351"/>
          </w:tcPr>
          <w:p>
            <w:r>
              <w:rPr>
                <w:rFonts w:ascii="Times New Roman" w:hAnsi="Times New Roman"/>
                <w:sz w:val="20"/>
              </w:rPr>
              <w:t>Vượt ngưỡng |β|&gt;0,4?</w:t>
            </w:r>
          </w:p>
        </w:tc>
      </w:tr>
      <w:tr>
        <w:tc>
          <w:tcPr>
            <w:tcW w:type="dxa" w:w="2351"/>
          </w:tcPr>
          <w:p>
            <w:r>
              <w:rPr>
                <w:rFonts w:ascii="Times New Roman" w:hAnsi="Times New Roman"/>
                <w:sz w:val="20"/>
              </w:rPr>
              <w:t>ALHT → RLLATQ (lo âu tổng quát)</w:t>
            </w:r>
          </w:p>
        </w:tc>
        <w:tc>
          <w:tcPr>
            <w:tcW w:type="dxa" w:w="2351"/>
          </w:tcPr>
          <w:p>
            <w:r>
              <w:rPr>
                <w:rFonts w:ascii="Times New Roman" w:hAnsi="Times New Roman"/>
                <w:sz w:val="20"/>
              </w:rPr>
              <w:t>0,510</w:t>
            </w:r>
          </w:p>
        </w:tc>
        <w:tc>
          <w:tcPr>
            <w:tcW w:type="dxa" w:w="2351"/>
          </w:tcPr>
          <w:p>
            <w:r>
              <w:rPr>
                <w:rFonts w:ascii="Times New Roman" w:hAnsi="Times New Roman"/>
                <w:sz w:val="20"/>
              </w:rPr>
              <w:t>&lt; 0,001</w:t>
            </w:r>
          </w:p>
        </w:tc>
        <w:tc>
          <w:tcPr>
            <w:tcW w:type="dxa" w:w="2351"/>
          </w:tcPr>
          <w:p>
            <w:r>
              <w:rPr>
                <w:rFonts w:ascii="Times New Roman" w:hAnsi="Times New Roman"/>
                <w:sz w:val="20"/>
              </w:rPr>
              <w:t>✓ ĐẠT</w:t>
            </w:r>
          </w:p>
        </w:tc>
      </w:tr>
      <w:tr>
        <w:tc>
          <w:tcPr>
            <w:tcW w:type="dxa" w:w="2351"/>
          </w:tcPr>
          <w:p>
            <w:r>
              <w:rPr>
                <w:rFonts w:ascii="Times New Roman" w:hAnsi="Times New Roman"/>
                <w:sz w:val="20"/>
              </w:rPr>
              <w:t>ALHT → RLLAXH (lo âu xã hội)</w:t>
            </w:r>
          </w:p>
        </w:tc>
        <w:tc>
          <w:tcPr>
            <w:tcW w:type="dxa" w:w="2351"/>
          </w:tcPr>
          <w:p>
            <w:r>
              <w:rPr>
                <w:rFonts w:ascii="Times New Roman" w:hAnsi="Times New Roman"/>
                <w:sz w:val="20"/>
              </w:rPr>
              <w:t>0,490</w:t>
            </w:r>
          </w:p>
        </w:tc>
        <w:tc>
          <w:tcPr>
            <w:tcW w:type="dxa" w:w="2351"/>
          </w:tcPr>
          <w:p>
            <w:r>
              <w:rPr>
                <w:rFonts w:ascii="Times New Roman" w:hAnsi="Times New Roman"/>
                <w:sz w:val="20"/>
              </w:rPr>
              <w:t>&lt; 0,001</w:t>
            </w:r>
          </w:p>
        </w:tc>
        <w:tc>
          <w:tcPr>
            <w:tcW w:type="dxa" w:w="2351"/>
          </w:tcPr>
          <w:p>
            <w:r>
              <w:rPr>
                <w:rFonts w:ascii="Times New Roman" w:hAnsi="Times New Roman"/>
                <w:sz w:val="20"/>
              </w:rPr>
              <w:t>✓ ĐẠT</w:t>
            </w:r>
          </w:p>
        </w:tc>
      </w:tr>
      <w:tr>
        <w:tc>
          <w:tcPr>
            <w:tcW w:type="dxa" w:w="2351"/>
          </w:tcPr>
          <w:p>
            <w:r>
              <w:rPr>
                <w:rFonts w:ascii="Times New Roman" w:hAnsi="Times New Roman"/>
                <w:sz w:val="20"/>
              </w:rPr>
              <w:t>Mô hình YTNC tổng → RLLA</w:t>
            </w:r>
          </w:p>
        </w:tc>
        <w:tc>
          <w:tcPr>
            <w:tcW w:type="dxa" w:w="2351"/>
          </w:tcPr>
          <w:p>
            <w:r>
              <w:rPr>
                <w:rFonts w:ascii="Times New Roman" w:hAnsi="Times New Roman"/>
                <w:sz w:val="20"/>
              </w:rPr>
              <w:t>0,669</w:t>
            </w:r>
          </w:p>
        </w:tc>
        <w:tc>
          <w:tcPr>
            <w:tcW w:type="dxa" w:w="2351"/>
          </w:tcPr>
          <w:p>
            <w:r>
              <w:rPr>
                <w:rFonts w:ascii="Times New Roman" w:hAnsi="Times New Roman"/>
                <w:sz w:val="20"/>
              </w:rPr>
              <w:t>&lt; 0,001</w:t>
            </w:r>
          </w:p>
        </w:tc>
        <w:tc>
          <w:tcPr>
            <w:tcW w:type="dxa" w:w="2351"/>
          </w:tcPr>
          <w:p>
            <w:r>
              <w:rPr>
                <w:rFonts w:ascii="Times New Roman" w:hAnsi="Times New Roman"/>
                <w:sz w:val="20"/>
              </w:rPr>
              <w:t>✓ ĐẠT (R² = 0,598)</w:t>
            </w:r>
          </w:p>
        </w:tc>
      </w:tr>
      <w:tr>
        <w:tc>
          <w:tcPr>
            <w:tcW w:type="dxa" w:w="2351"/>
          </w:tcPr>
          <w:p>
            <w:r>
              <w:rPr>
                <w:rFonts w:ascii="Times New Roman" w:hAnsi="Times New Roman"/>
                <w:sz w:val="20"/>
              </w:rPr>
              <w:t>Mô hình YTNC riêng (chỉ ALHT)</w:t>
            </w:r>
          </w:p>
        </w:tc>
        <w:tc>
          <w:tcPr>
            <w:tcW w:type="dxa" w:w="2351"/>
          </w:tcPr>
          <w:p>
            <w:r>
              <w:rPr>
                <w:rFonts w:ascii="Times New Roman" w:hAnsi="Times New Roman"/>
                <w:sz w:val="20"/>
              </w:rPr>
              <w:t>0,747</w:t>
            </w:r>
          </w:p>
        </w:tc>
        <w:tc>
          <w:tcPr>
            <w:tcW w:type="dxa" w:w="2351"/>
          </w:tcPr>
          <w:p>
            <w:r>
              <w:rPr>
                <w:rFonts w:ascii="Times New Roman" w:hAnsi="Times New Roman"/>
                <w:sz w:val="20"/>
              </w:rPr>
              <w:t>&lt; 0,001</w:t>
            </w:r>
          </w:p>
        </w:tc>
        <w:tc>
          <w:tcPr>
            <w:tcW w:type="dxa" w:w="2351"/>
          </w:tcPr>
          <w:p>
            <w:r>
              <w:rPr>
                <w:rFonts w:ascii="Times New Roman" w:hAnsi="Times New Roman"/>
                <w:sz w:val="20"/>
              </w:rPr>
              <w:t>✓ ĐẠT (CFI &gt; 0,99)</w:t>
            </w:r>
          </w:p>
        </w:tc>
      </w:tr>
    </w:tbl>
    <w:p>
      <w:pPr>
        <w:ind w:firstLine="567"/>
        <w:jc w:val="both"/>
      </w:pPr>
      <w:r>
        <w:rPr>
          <w:b w:val="0"/>
          <w:i w:val="0"/>
          <w:color w:val="000000"/>
          <w:sz w:val="26"/>
        </w:rPr>
      </w:r>
    </w:p>
    <w:p>
      <w:pPr>
        <w:ind w:firstLine="567"/>
        <w:jc w:val="both"/>
      </w:pPr>
      <w:r>
        <w:rPr>
          <w:b w:val="0"/>
          <w:i w:val="0"/>
          <w:color w:val="000000"/>
          <w:sz w:val="26"/>
        </w:rPr>
        <w:t>Mô hình SEM đạt fit indices tốt theo Hu và Bentler (1999): CFI &gt; 0,99, RMSEA chứa ngưỡng 0,05 trong KTC 90%. Mô hình tích hợp YTNC + YTBV giải thích R² = 59,8% phương sai rối loạn lo âu — vượt ngưỡng "effect size lớn" R² &gt; 0,26 theo Cohen (1988). Đây là bằng chứng MẠNH NHẤT cho giả thuyết H1 từ dữ liệu Việt Nam.</w:t>
      </w:r>
    </w:p>
    <w:p>
      <w:r>
        <w:rPr>
          <w:b/>
          <w:color w:val="1F497D"/>
          <w:sz w:val="26"/>
        </w:rPr>
        <w:t>4. Bốn cơ chế đề xuất từ y văn quốc tế</w:t>
      </w:r>
    </w:p>
    <w:p>
      <w:pPr>
        <w:jc w:val="both"/>
      </w:pPr>
      <w:r>
        <w:rPr>
          <w:b w:val="0"/>
          <w:i w:val="0"/>
          <w:color w:val="000000"/>
          <w:sz w:val="26"/>
        </w:rPr>
        <w:t>Y văn quốc tế đề xuất bốn cơ chế nối áp lực học tập với lo âu.</w:t>
      </w:r>
    </w:p>
    <w:p>
      <w:pPr>
        <w:ind w:firstLine="567"/>
        <w:jc w:val="both"/>
      </w:pPr>
      <w:r>
        <w:rPr>
          <w:b w:val="0"/>
          <w:i w:val="0"/>
          <w:color w:val="000000"/>
          <w:sz w:val="26"/>
        </w:rPr>
        <w:t>CƠ CHẾ 1 — Trục HPA (hypothalamic-pituitary-adrenal). Stress kéo dài kích hoạt trục HPA → tăng cortisol mãn tính → tăng phản ứng lo âu. Cơ chế thần kinh sinh lý này đã được xác lập rõ rệt trong y văn nội tiết học (Pascoe và cộng sự, 2020).</w:t>
      </w:r>
    </w:p>
    <w:p>
      <w:pPr>
        <w:ind w:firstLine="567"/>
        <w:jc w:val="both"/>
      </w:pPr>
      <w:r>
        <w:rPr>
          <w:b w:val="0"/>
          <w:i w:val="0"/>
          <w:color w:val="000000"/>
          <w:sz w:val="26"/>
        </w:rPr>
        <w:t>CƠ CHẾ 2 — Thay thế giấc ngủ. Áp lực học tập làm GIẢM thời lượng và chất lượng giấc ngủ (Pascoe 2020 ghi nhận thanh thiếu niên ngủ &lt; 7h/đêm có nguy cơ trầm cảm cao gấp 2-3 lần). Thiếu ngủ → tăng cortisol → tăng phản ứng lo âu — tạo vòng xoáy stress-mất ngủ-lo âu.</w:t>
      </w:r>
    </w:p>
    <w:p>
      <w:pPr>
        <w:ind w:firstLine="567"/>
        <w:jc w:val="both"/>
      </w:pPr>
      <w:r>
        <w:rPr>
          <w:b w:val="0"/>
          <w:i w:val="0"/>
          <w:color w:val="000000"/>
          <w:sz w:val="26"/>
        </w:rPr>
        <w:t>CƠ CHẾ 3 — Mối quan hệ U-NGƯỢC stress-thành tích. Stress thấp → động lực thấp; stress vừa → tối ưu; stress cao → giảm working memory + giảm khả năng tập trung → kết quả học giảm → áp lực tăng (Pascoe 2020). Vòng xoáy này có thể giải thích tại sao một số học sinh "học giỏi nhưng lo âu cao" — họ ở phía cực phải đường cong U-ngược.</w:t>
      </w:r>
    </w:p>
    <w:p>
      <w:pPr>
        <w:ind w:firstLine="567"/>
        <w:jc w:val="both"/>
      </w:pPr>
      <w:r>
        <w:rPr>
          <w:b w:val="0"/>
          <w:i w:val="0"/>
          <w:color w:val="000000"/>
          <w:sz w:val="26"/>
        </w:rPr>
        <w:t>CƠ CHẾ 4 — Bất mãn trường học và mất kết nối. Áp lực học tập kéo dài làm giảm cảm nhận thuộc về (sense of belonging), tăng bất mãn trường học (Brunborg 2025). Khi trường học chuyển từ "nguồn hỗ trợ" thành "nguồn stress", học sinh mất một trong những yếu tố bảo vệ quan trọng nhất — môi trường giáo dục an toàn.</w:t>
      </w:r>
    </w:p>
    <w:p>
      <w:r>
        <w:rPr>
          <w:b/>
          <w:color w:val="1F497D"/>
          <w:sz w:val="26"/>
        </w:rPr>
        <w:t>5. Kim tự tháp bằng chứng cho giả thuyết H1</w:t>
      </w:r>
    </w:p>
    <w:p>
      <w:pPr>
        <w:jc w:val="center"/>
      </w:pPr>
      <w:r>
        <w:rPr>
          <w:b/>
          <w:sz w:val="24"/>
        </w:rPr>
        <w:t>Bảng 3. Vị trí các công trình trong kim tự tháp bằng chứng y học</w:t>
      </w:r>
    </w:p>
    <w:tbl>
      <w:tblPr>
        <w:tblStyle w:val="LightGrid-Accent1"/>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sz w:val="20"/>
              </w:rPr>
              <w:t>Cấp</w:t>
            </w:r>
          </w:p>
        </w:tc>
        <w:tc>
          <w:tcPr>
            <w:tcW w:type="dxa" w:w="2351"/>
          </w:tcPr>
          <w:p>
            <w:r>
              <w:rPr>
                <w:rFonts w:ascii="Times New Roman" w:hAnsi="Times New Roman"/>
                <w:sz w:val="20"/>
              </w:rPr>
              <w:t>Loại bằng chứng</w:t>
            </w:r>
          </w:p>
        </w:tc>
        <w:tc>
          <w:tcPr>
            <w:tcW w:type="dxa" w:w="2351"/>
          </w:tcPr>
          <w:p>
            <w:r>
              <w:rPr>
                <w:rFonts w:ascii="Times New Roman" w:hAnsi="Times New Roman"/>
                <w:sz w:val="20"/>
              </w:rPr>
              <w:t>Công trình</w:t>
            </w:r>
          </w:p>
        </w:tc>
        <w:tc>
          <w:tcPr>
            <w:tcW w:type="dxa" w:w="2351"/>
          </w:tcPr>
          <w:p>
            <w:r>
              <w:rPr>
                <w:rFonts w:ascii="Times New Roman" w:hAnsi="Times New Roman"/>
                <w:sz w:val="20"/>
              </w:rPr>
              <w:t>Sức mạnh</w:t>
            </w:r>
          </w:p>
        </w:tc>
      </w:tr>
      <w:tr>
        <w:tc>
          <w:tcPr>
            <w:tcW w:type="dxa" w:w="2351"/>
          </w:tcPr>
          <w:p>
            <w:r>
              <w:rPr>
                <w:rFonts w:ascii="Times New Roman" w:hAnsi="Times New Roman"/>
                <w:sz w:val="20"/>
              </w:rPr>
              <w:t>I</w:t>
            </w:r>
          </w:p>
        </w:tc>
        <w:tc>
          <w:tcPr>
            <w:tcW w:type="dxa" w:w="2351"/>
          </w:tcPr>
          <w:p>
            <w:r>
              <w:rPr>
                <w:rFonts w:ascii="Times New Roman" w:hAnsi="Times New Roman"/>
                <w:sz w:val="20"/>
              </w:rPr>
              <w:t>SEM trên mẫu lớn đại diện</w:t>
            </w:r>
          </w:p>
        </w:tc>
        <w:tc>
          <w:tcPr>
            <w:tcW w:type="dxa" w:w="2351"/>
          </w:tcPr>
          <w:p>
            <w:r>
              <w:rPr>
                <w:rFonts w:ascii="Times New Roman" w:hAnsi="Times New Roman"/>
                <w:sz w:val="20"/>
              </w:rPr>
              <w:t>Chương 3 luận án (n = 1.352 HS THCS VN)</w:t>
            </w:r>
          </w:p>
        </w:tc>
        <w:tc>
          <w:tcPr>
            <w:tcW w:type="dxa" w:w="2351"/>
          </w:tcPr>
          <w:p>
            <w:r>
              <w:rPr>
                <w:rFonts w:ascii="Times New Roman" w:hAnsi="Times New Roman"/>
                <w:sz w:val="20"/>
              </w:rPr>
              <w:t>TRỰC TIẾP — β = 0,510/0,490 cho VN</w:t>
            </w:r>
          </w:p>
        </w:tc>
      </w:tr>
      <w:tr>
        <w:tc>
          <w:tcPr>
            <w:tcW w:type="dxa" w:w="2351"/>
          </w:tcPr>
          <w:p>
            <w:r>
              <w:rPr>
                <w:rFonts w:ascii="Times New Roman" w:hAnsi="Times New Roman"/>
                <w:sz w:val="20"/>
              </w:rPr>
              <w:t>II</w:t>
            </w:r>
          </w:p>
        </w:tc>
        <w:tc>
          <w:tcPr>
            <w:tcW w:type="dxa" w:w="2351"/>
          </w:tcPr>
          <w:p>
            <w:r>
              <w:rPr>
                <w:rFonts w:ascii="Times New Roman" w:hAnsi="Times New Roman"/>
                <w:sz w:val="20"/>
              </w:rPr>
              <w:t>Repeated cross-sectional decomposition</w:t>
            </w:r>
          </w:p>
        </w:tc>
        <w:tc>
          <w:tcPr>
            <w:tcW w:type="dxa" w:w="2351"/>
          </w:tcPr>
          <w:p>
            <w:r>
              <w:rPr>
                <w:rFonts w:ascii="Times New Roman" w:hAnsi="Times New Roman"/>
                <w:sz w:val="20"/>
              </w:rPr>
              <w:t>Brunborg 2025 (n = 979.043 Na Uy, 13 năm)</w:t>
            </w:r>
          </w:p>
        </w:tc>
        <w:tc>
          <w:tcPr>
            <w:tcW w:type="dxa" w:w="2351"/>
          </w:tcPr>
          <w:p>
            <w:r>
              <w:rPr>
                <w:rFonts w:ascii="Times New Roman" w:hAnsi="Times New Roman"/>
                <w:sz w:val="20"/>
              </w:rPr>
              <w:t>CỠ MẪU LỚN NHẤT — bất mãn trường học giải thích xu hướng</w:t>
            </w:r>
          </w:p>
        </w:tc>
      </w:tr>
      <w:tr>
        <w:tc>
          <w:tcPr>
            <w:tcW w:type="dxa" w:w="2351"/>
          </w:tcPr>
          <w:p>
            <w:r>
              <w:rPr>
                <w:rFonts w:ascii="Times New Roman" w:hAnsi="Times New Roman"/>
                <w:sz w:val="20"/>
              </w:rPr>
              <w:t>III</w:t>
            </w:r>
          </w:p>
        </w:tc>
        <w:tc>
          <w:tcPr>
            <w:tcW w:type="dxa" w:w="2351"/>
          </w:tcPr>
          <w:p>
            <w:r>
              <w:rPr>
                <w:rFonts w:ascii="Times New Roman" w:hAnsi="Times New Roman"/>
                <w:sz w:val="20"/>
              </w:rPr>
              <w:t>Nghiên cứu dọc (longitudinal)</w:t>
            </w:r>
          </w:p>
        </w:tc>
        <w:tc>
          <w:tcPr>
            <w:tcW w:type="dxa" w:w="2351"/>
          </w:tcPr>
          <w:p>
            <w:r>
              <w:rPr>
                <w:rFonts w:ascii="Times New Roman" w:hAnsi="Times New Roman"/>
                <w:sz w:val="20"/>
              </w:rPr>
              <w:t>Trần Thảo Vi 2024 (n = 611 Huế, 3 năm)</w:t>
            </w:r>
          </w:p>
        </w:tc>
        <w:tc>
          <w:tcPr>
            <w:tcW w:type="dxa" w:w="2351"/>
          </w:tcPr>
          <w:p>
            <w:r>
              <w:rPr>
                <w:rFonts w:ascii="Times New Roman" w:hAnsi="Times New Roman"/>
                <w:sz w:val="20"/>
              </w:rPr>
              <w:t>Áp lực tăng theo khối — bằng chứng VN</w:t>
            </w:r>
          </w:p>
        </w:tc>
      </w:tr>
      <w:tr>
        <w:tc>
          <w:tcPr>
            <w:tcW w:type="dxa" w:w="2351"/>
          </w:tcPr>
          <w:p>
            <w:r>
              <w:rPr>
                <w:rFonts w:ascii="Times New Roman" w:hAnsi="Times New Roman"/>
                <w:sz w:val="20"/>
              </w:rPr>
              <w:t>IV</w:t>
            </w:r>
          </w:p>
        </w:tc>
        <w:tc>
          <w:tcPr>
            <w:tcW w:type="dxa" w:w="2351"/>
          </w:tcPr>
          <w:p>
            <w:r>
              <w:rPr>
                <w:rFonts w:ascii="Times New Roman" w:hAnsi="Times New Roman"/>
                <w:sz w:val="20"/>
              </w:rPr>
              <w:t>Hồi quy đa biến mô hình tam giác</w:t>
            </w:r>
          </w:p>
        </w:tc>
        <w:tc>
          <w:tcPr>
            <w:tcW w:type="dxa" w:w="2351"/>
          </w:tcPr>
          <w:p>
            <w:r>
              <w:rPr>
                <w:rFonts w:ascii="Times New Roman" w:hAnsi="Times New Roman"/>
                <w:sz w:val="20"/>
              </w:rPr>
              <w:t>Zheng &amp; Peng 2025</w:t>
            </w:r>
          </w:p>
        </w:tc>
        <w:tc>
          <w:tcPr>
            <w:tcW w:type="dxa" w:w="2351"/>
          </w:tcPr>
          <w:p>
            <w:r>
              <w:rPr>
                <w:rFonts w:ascii="Times New Roman" w:hAnsi="Times New Roman"/>
                <w:sz w:val="20"/>
              </w:rPr>
              <w:t>r = 0,505; β = 0,223 sau kiểm soát</w:t>
            </w:r>
          </w:p>
        </w:tc>
      </w:tr>
      <w:tr>
        <w:tc>
          <w:tcPr>
            <w:tcW w:type="dxa" w:w="2351"/>
          </w:tcPr>
          <w:p>
            <w:r>
              <w:rPr>
                <w:rFonts w:ascii="Times New Roman" w:hAnsi="Times New Roman"/>
                <w:sz w:val="20"/>
              </w:rPr>
              <w:t>V</w:t>
            </w:r>
          </w:p>
        </w:tc>
        <w:tc>
          <w:tcPr>
            <w:tcW w:type="dxa" w:w="2351"/>
          </w:tcPr>
          <w:p>
            <w:r>
              <w:rPr>
                <w:rFonts w:ascii="Times New Roman" w:hAnsi="Times New Roman"/>
                <w:sz w:val="20"/>
              </w:rPr>
              <w:t>Cắt ngang cỡ mẫu trung bình</w:t>
            </w:r>
          </w:p>
        </w:tc>
        <w:tc>
          <w:tcPr>
            <w:tcW w:type="dxa" w:w="2351"/>
          </w:tcPr>
          <w:p>
            <w:r>
              <w:rPr>
                <w:rFonts w:ascii="Times New Roman" w:hAnsi="Times New Roman"/>
                <w:sz w:val="20"/>
              </w:rPr>
              <w:t>Nguyễn Thị Vân 2020 (n = 558 TPHCM)</w:t>
            </w:r>
          </w:p>
        </w:tc>
        <w:tc>
          <w:tcPr>
            <w:tcW w:type="dxa" w:w="2351"/>
          </w:tcPr>
          <w:p>
            <w:r>
              <w:rPr>
                <w:rFonts w:ascii="Times New Roman" w:hAnsi="Times New Roman"/>
                <w:sz w:val="20"/>
              </w:rPr>
              <w:t>r = 0,37; minh họa biểu hiện cụ thể</w:t>
            </w:r>
          </w:p>
        </w:tc>
      </w:tr>
      <w:tr>
        <w:tc>
          <w:tcPr>
            <w:tcW w:type="dxa" w:w="2351"/>
          </w:tcPr>
          <w:p>
            <w:r>
              <w:rPr>
                <w:rFonts w:ascii="Times New Roman" w:hAnsi="Times New Roman"/>
                <w:sz w:val="20"/>
              </w:rPr>
              <w:t>VI</w:t>
            </w:r>
          </w:p>
        </w:tc>
        <w:tc>
          <w:tcPr>
            <w:tcW w:type="dxa" w:w="2351"/>
          </w:tcPr>
          <w:p>
            <w:r>
              <w:rPr>
                <w:rFonts w:ascii="Times New Roman" w:hAnsi="Times New Roman"/>
                <w:sz w:val="20"/>
              </w:rPr>
              <w:t>Tổng quan tường thuật</w:t>
            </w:r>
          </w:p>
        </w:tc>
        <w:tc>
          <w:tcPr>
            <w:tcW w:type="dxa" w:w="2351"/>
          </w:tcPr>
          <w:p>
            <w:r>
              <w:rPr>
                <w:rFonts w:ascii="Times New Roman" w:hAnsi="Times New Roman"/>
                <w:sz w:val="20"/>
              </w:rPr>
              <w:t>Pascoe 2020 (~80 NC)</w:t>
            </w:r>
          </w:p>
        </w:tc>
        <w:tc>
          <w:tcPr>
            <w:tcW w:type="dxa" w:w="2351"/>
          </w:tcPr>
          <w:p>
            <w:r>
              <w:rPr>
                <w:rFonts w:ascii="Times New Roman" w:hAnsi="Times New Roman"/>
                <w:sz w:val="20"/>
              </w:rPr>
              <w:t>KHUNG KHÁI NIỆM — không có effect size pooled</w:t>
            </w:r>
          </w:p>
        </w:tc>
      </w:tr>
    </w:tbl>
    <w:p>
      <w:r>
        <w:rPr>
          <w:b/>
          <w:color w:val="1F497D"/>
          <w:sz w:val="26"/>
        </w:rPr>
        <w:t>6. Năm phát hiện chính ủng hộ giả thuyết H1</w:t>
      </w:r>
    </w:p>
    <w:p>
      <w:pPr>
        <w:jc w:val="both"/>
      </w:pPr>
      <w:r>
        <w:rPr>
          <w:b w:val="0"/>
          <w:i w:val="0"/>
          <w:color w:val="000000"/>
          <w:sz w:val="26"/>
        </w:rPr>
        <w:t>Thứ nhất, áp lực học tập có cường độ tác động MẠNH NHẤT trong các yếu tố nguy cơ — chương 3 luận án xác lập β = 0,510 cho lo âu tổng quát và β = 0,490 cho lo âu xã hội (cả hai &gt; 0,4). Bằng chứng VIỆT NAM TRỰC TIẾP.</w:t>
      </w:r>
    </w:p>
    <w:p>
      <w:pPr>
        <w:ind w:firstLine="567"/>
        <w:jc w:val="both"/>
      </w:pPr>
      <w:r>
        <w:rPr>
          <w:b w:val="0"/>
          <w:i w:val="0"/>
          <w:color w:val="000000"/>
          <w:sz w:val="26"/>
        </w:rPr>
        <w:t>Thứ hai, bằng chứng cấp dân số lớn (Brunborg 2025, n = 979.043 Na Uy) cho thấy bất mãn trường học loại bỏ TOÀN BỘ xu hướng tăng căng thẳng tâm thần ở nam — phù hợp với cơ chế áp lực học tập là yếu tố then chốt.</w:t>
      </w:r>
    </w:p>
    <w:p>
      <w:pPr>
        <w:ind w:firstLine="567"/>
        <w:jc w:val="both"/>
      </w:pPr>
      <w:r>
        <w:rPr>
          <w:b w:val="0"/>
          <w:i w:val="0"/>
          <w:color w:val="000000"/>
          <w:sz w:val="26"/>
        </w:rPr>
        <w:t>Thứ ba, bằng chứng dọc tại Việt Nam (Trần Thảo Vi 2024) xác lập áp lực học tập TĂNG theo khối lớp — đỉnh ở lớp cuối cấp do áp lực thi chuyển cấp. Đặc thù bối cảnh giáo dục Việt Nam.</w:t>
      </w:r>
    </w:p>
    <w:p>
      <w:pPr>
        <w:ind w:firstLine="567"/>
        <w:jc w:val="both"/>
      </w:pPr>
      <w:r>
        <w:rPr>
          <w:b w:val="0"/>
          <w:i w:val="0"/>
          <w:color w:val="000000"/>
          <w:sz w:val="26"/>
        </w:rPr>
        <w:t>Thứ tư, sau khi kiểm soát đa biến (Zheng &amp; Peng 2025), áp lực học tập VẪN có β = 0,223 — yếu tố NGUY CƠ ĐỘC LẬP với mạng xã hội và giấc ngủ. Tác động không phải do nhiễu của các yếu tố khác.</w:t>
      </w:r>
    </w:p>
    <w:p>
      <w:pPr>
        <w:ind w:firstLine="567"/>
        <w:jc w:val="both"/>
      </w:pPr>
      <w:r>
        <w:rPr>
          <w:b w:val="0"/>
          <w:i w:val="0"/>
          <w:color w:val="000000"/>
          <w:sz w:val="26"/>
        </w:rPr>
        <w:t>Thứ năm, khung khái niệm Pascoe 2020 cung cấp BỐN CƠ CHẾ giải thích (HPA axis, giấc ngủ, U-ngược stress-thành tích, bất mãn trường học) — tạo cơ sở lý thuyết vững chắc cho giả thuyết.</w:t>
      </w:r>
    </w:p>
    <w:p>
      <w:r>
        <w:rPr>
          <w:b/>
          <w:color w:val="1F497D"/>
          <w:sz w:val="26"/>
        </w:rPr>
        <w:t>7. Hàm ý cho thiết kế can thiệp</w:t>
      </w:r>
    </w:p>
    <w:p>
      <w:pPr>
        <w:jc w:val="both"/>
      </w:pPr>
      <w:r>
        <w:rPr>
          <w:b w:val="0"/>
          <w:i w:val="0"/>
          <w:color w:val="000000"/>
          <w:sz w:val="26"/>
        </w:rPr>
        <w:t>Năm hàm ý cụ thể cho thiết kế can thiệp giảm áp lực học tập tại trường THCS Việt Nam.</w:t>
      </w:r>
    </w:p>
    <w:p>
      <w:pPr>
        <w:ind w:firstLine="567"/>
        <w:jc w:val="both"/>
      </w:pPr>
      <w:r>
        <w:rPr>
          <w:b w:val="0"/>
          <w:i w:val="0"/>
          <w:color w:val="000000"/>
          <w:sz w:val="26"/>
        </w:rPr>
        <w:t>HÀM Ý 1 — Can thiệp WHOLE-SCHOOL. Pascoe (2020) khuyến nghị can thiệp toàn trường: chánh niệm (mindfulness), CBT, và cải thiện môi trường học. Khác với can thiệp cá nhân chỉ nhắm vào HS có lo âu, can thiệp toàn trường GIẢM nguồn stress cho TẤT CẢ học sinh.</w:t>
      </w:r>
    </w:p>
    <w:p>
      <w:pPr>
        <w:ind w:firstLine="567"/>
        <w:jc w:val="both"/>
      </w:pPr>
      <w:r>
        <w:rPr>
          <w:b w:val="0"/>
          <w:i w:val="0"/>
          <w:color w:val="000000"/>
          <w:sz w:val="26"/>
        </w:rPr>
        <w:t>HÀM Ý 2 — Tập trung lớp cuối cấp. Trần Thảo Vi (2024) cho thấy đỉnh áp lực ở lớp cuối cấp Việt Nam — gợi ý phân bổ NGUỒN LỰC can thiệp tập trung vào lớp 9 (chuẩn bị thi vào lớp 10) và lớp 12 (thi đại học).</w:t>
      </w:r>
    </w:p>
    <w:p>
      <w:pPr>
        <w:ind w:firstLine="567"/>
        <w:jc w:val="both"/>
      </w:pPr>
      <w:r>
        <w:rPr>
          <w:b w:val="0"/>
          <w:i w:val="0"/>
          <w:color w:val="000000"/>
          <w:sz w:val="26"/>
        </w:rPr>
        <w:t>HÀM Ý 3 — Đo bằng ESSA chuẩn quốc tế. Sử dụng Educational Stress Scale for Adolescents (Sun và cộng sự, 2011) — 16 mục, đã chuẩn hóa — thay vì bảng hỏi tự thiết kế. Cho phép so sánh trực tiếp với y văn quốc tế.</w:t>
      </w:r>
    </w:p>
    <w:p>
      <w:pPr>
        <w:ind w:firstLine="567"/>
        <w:jc w:val="both"/>
      </w:pPr>
      <w:r>
        <w:rPr>
          <w:b w:val="0"/>
          <w:i w:val="0"/>
          <w:color w:val="000000"/>
          <w:sz w:val="26"/>
        </w:rPr>
        <w:t>HÀM Ý 4 — Phân tích đa biến + SEM. Theo mô hình chương 3 luận án, kiểm soát đồng thời các yếu tố nguy cơ (ALHT, BPĐP, mạng xã hội, giấc ngủ) và yếu tố bảo vệ (tự trọng, hỗ trợ xã hội). SEM cho phép tách biệt tác động độc lập của từng yếu tố.</w:t>
      </w:r>
    </w:p>
    <w:p>
      <w:pPr>
        <w:ind w:firstLine="567"/>
        <w:jc w:val="both"/>
      </w:pPr>
      <w:r>
        <w:rPr>
          <w:b w:val="0"/>
          <w:i w:val="0"/>
          <w:color w:val="000000"/>
          <w:sz w:val="26"/>
        </w:rPr>
        <w:t>HÀM Ý 5 — Cải thiện môi trường trường học. Brunborg (2025) chỉ ra bất mãn trường học là yếu tố then chốt. Can thiệp cấp trường: giảm khối lượng bài tập về nhà, cải thiện chất lượng quan hệ thầy-trò, đa dạng hóa phương pháp đánh giá (không chỉ điểm số).</w:t>
      </w:r>
    </w:p>
    <w:p>
      <w:r>
        <w:rPr>
          <w:b/>
          <w:color w:val="1F497D"/>
          <w:sz w:val="26"/>
        </w:rPr>
        <w:t>8. CÂU TRẢ LỜI — Phát biểu giả thuyết và luận chứng</w:t>
      </w:r>
    </w:p>
    <w:p>
      <w:pPr>
        <w:jc w:val="both"/>
      </w:pPr>
      <w:r>
        <w:rPr>
          <w:b/>
          <w:i w:val="0"/>
          <w:color w:val="0070C0"/>
          <w:sz w:val="24"/>
        </w:rPr>
        <w:t>Giả thuyết H1 (chính thức):</w:t>
      </w:r>
    </w:p>
    <w:p>
      <w:pPr>
        <w:jc w:val="both"/>
      </w:pPr>
      <w:r>
        <w:rPr>
          <w:b w:val="0"/>
          <w:i/>
          <w:color w:val="0070C0"/>
          <w:sz w:val="24"/>
        </w:rPr>
        <w:t>Trong các yếu tố nguy cơ ảnh hưởng đến rối loạn lo âu ở học sinh trung học cơ sở, ÁP LỰC HỌC TẬP có cường độ tác động MẠNH NHẤT, với hệ số chuẩn hóa |β| &gt; 0,4 trong mô hình SEM — sau khi kiểm soát các biến nhân khẩu và yếu tố tâm lý xã hội đồng biến.</w:t>
      </w:r>
    </w:p>
    <w:p>
      <w:pPr>
        <w:jc w:val="both"/>
      </w:pPr>
      <w:r>
        <w:rPr>
          <w:b/>
          <w:i w:val="0"/>
          <w:color w:val="0070C0"/>
          <w:sz w:val="24"/>
        </w:rPr>
        <w:t>Tóm gọn luận chứng (5 điểm):</w:t>
      </w:r>
    </w:p>
    <w:p>
      <w:pPr>
        <w:jc w:val="both"/>
      </w:pPr>
      <w:r>
        <w:rPr>
          <w:b w:val="0"/>
          <w:i w:val="0"/>
          <w:color w:val="0070C0"/>
          <w:sz w:val="24"/>
        </w:rPr>
        <w:t>(1) BẰNG CHỨNG VN TRỰC TIẾP — chương 3 luận án (n = 1.352 HS THCS): β = 0,510 (tổng quát) và β = 0,490 (xã hội), cả hai vượt ngưỡng |β| &gt; 0,4 (Bảng 3.24). Mô hình SEM đạt fit indices tốt; R² = 0,598.</w:t>
      </w:r>
    </w:p>
    <w:p>
      <w:pPr>
        <w:jc w:val="both"/>
      </w:pPr>
      <w:r>
        <w:rPr>
          <w:b w:val="0"/>
          <w:i w:val="0"/>
          <w:color w:val="0070C0"/>
          <w:sz w:val="24"/>
        </w:rPr>
        <w:t>(2) BẰNG CHỨNG TOÀN CẦU — Brunborg 2025 (Soc Sci Med, n = 979.043 Na Uy 13 năm): bất mãn trường học loại bỏ TOÀN BỘ xu hướng tăng căng thẳng tâm thần ở nam.</w:t>
      </w:r>
    </w:p>
    <w:p>
      <w:pPr>
        <w:jc w:val="both"/>
      </w:pPr>
      <w:r>
        <w:rPr>
          <w:b w:val="0"/>
          <w:i w:val="0"/>
          <w:color w:val="0070C0"/>
          <w:sz w:val="24"/>
        </w:rPr>
        <w:t>(3) BẰNG CHỨNG SAU KIỂM SOÁT — Zheng &amp; Peng 2025 (PRBM): r = 0,505; β = 0,223 sau khi kiểm soát mạng xã hội + giấc ngủ. Yếu tố nguy cơ ĐỘC LẬP.</w:t>
      </w:r>
    </w:p>
    <w:p>
      <w:pPr>
        <w:jc w:val="both"/>
      </w:pPr>
      <w:r>
        <w:rPr>
          <w:b w:val="0"/>
          <w:i w:val="0"/>
          <w:color w:val="0070C0"/>
          <w:sz w:val="24"/>
        </w:rPr>
        <w:t>(4) BẰNG CHỨNG DỌC VN — Trần Thảo Vi 2024 (J Rural Medicine, n = 611 Huế, 3 năm): áp lực học tập tăng theo khối, đỉnh ở lớp cuối cấp.</w:t>
      </w:r>
    </w:p>
    <w:p>
      <w:pPr>
        <w:jc w:val="both"/>
      </w:pPr>
      <w:r>
        <w:rPr>
          <w:b w:val="0"/>
          <w:i w:val="0"/>
          <w:color w:val="0070C0"/>
          <w:sz w:val="24"/>
        </w:rPr>
        <w:t>(5) KHUNG KHÁI NIỆM — Pascoe 2020 (IJAY, ~80 NC): áp lực thi cử là yếu tố nguy cơ ĐỘC LẬP với lo âu, tác động qua trục HPA và 4 cơ chế khác.</w:t>
      </w:r>
    </w:p>
    <w:p>
      <w:pPr>
        <w:jc w:val="both"/>
      </w:pPr>
      <w:r>
        <w:rPr>
          <w:b/>
          <w:i w:val="0"/>
          <w:color w:val="0070C0"/>
          <w:sz w:val="24"/>
        </w:rPr>
        <w:t>Cách trích vào báo cáo CTH:</w:t>
      </w:r>
    </w:p>
    <w:p>
      <w:pPr>
        <w:jc w:val="both"/>
      </w:pPr>
      <w:r>
        <w:rPr>
          <w:b w:val="0"/>
          <w:i/>
          <w:color w:val="0070C0"/>
          <w:sz w:val="24"/>
        </w:rPr>
        <w:t>"Trong các yếu tố nguy cơ ảnh hưởng đến rối loạn lo âu ở học sinh trung học cơ sở, áp lực học tập có cường độ tác động mạnh nhất với hệ số chuẩn hóa β = 0,510 cho lo âu tổng quát và β = 0,490 cho lo âu xã hội — cả hai vượt ngưỡng |β| &gt; 0,4 (Bảng 3.24, mô hình SEM trên n = 1.352 học sinh THCS Việt Nam). Phát hiện này phù hợp với khung 6 trục của Pascoe, Hetrick và Parker (2020) trong International Journal of Adolescence and Youth — khẳng định áp lực thi cử là yếu tố nguy cơ độc lập với rối loạn lo âu. Trên bình diện cấp dân số, Brunborg và cộng sự (2025) trong Social Science &amp; Medicine trên 979.043 thanh thiếu niên Na Uy qua 13 năm chứng minh bất mãn trường học (chứa áp lực học tập) loại bỏ toàn bộ xu hướng tăng căng thẳng tâm thần ở nam giới. Sau khi kiểm soát đồng thời các yếu tố nhiễu, Zheng và Peng (2025) trong Psychology Research and Behavior Management vẫn xác lập β = 0,223 cho áp lực học tập — yếu tố nguy cơ độc lập. Tại Việt Nam, kết quả thuần tập 3 năm của Trần Thảo Vi và cộng sự (2024) trong Journal of Rural Medicine trên 611 học sinh trung học Huế khẳng định áp lực học tập tăng theo khối lớp — đỉnh ở lớp cuối cấp do áp lực thi chuyển cấp."</w:t>
      </w:r>
    </w:p>
    <w:p>
      <w:r>
        <w:rPr>
          <w:b/>
          <w:color w:val="1F497D"/>
          <w:sz w:val="26"/>
        </w:rPr>
        <w:t>9. Tài liệu tham khảo</w:t>
      </w:r>
    </w:p>
    <w:p>
      <w:pPr>
        <w:ind w:left="567" w:hanging="567"/>
        <w:jc w:val="both"/>
      </w:pPr>
      <w:r>
        <w:rPr>
          <w:sz w:val="24"/>
        </w:rPr>
        <w:t>Brunborg, G. S., Nilsen, S. A., Skogen, J. C., &amp; Bang, L. (2025). Possible explanations for the upward trend in mental distress among adolescents in Norway from 2011 to 2024. Social Science &amp; Medicine, 384, 118554. [QT021 trong cơ sở dữ liệu dự án.]</w:t>
      </w:r>
    </w:p>
    <w:p>
      <w:pPr>
        <w:ind w:left="567" w:hanging="567"/>
        <w:jc w:val="both"/>
      </w:pPr>
      <w:r>
        <w:rPr>
          <w:sz w:val="24"/>
        </w:rPr>
        <w:t>Cohen, J. (1988). Statistical power analysis for the behavioral sciences (2nd ed.). Lawrence Erlbaum Associates.</w:t>
      </w:r>
    </w:p>
    <w:p>
      <w:pPr>
        <w:ind w:left="567" w:hanging="567"/>
        <w:jc w:val="both"/>
      </w:pPr>
      <w:r>
        <w:rPr>
          <w:sz w:val="24"/>
        </w:rPr>
        <w:t>Hu, L., &amp; Bentler, P. M. (1999). Cutoff criteria for fit indexes in covariance structure analysis: Conventional criteria versus new alternatives. Structural Equation Modeling, 6(1), 1–55. https://doi.org/10.1080/10705519909540118</w:t>
      </w:r>
    </w:p>
    <w:p>
      <w:pPr>
        <w:ind w:left="567" w:hanging="567"/>
        <w:jc w:val="both"/>
      </w:pPr>
      <w:r>
        <w:rPr>
          <w:sz w:val="24"/>
        </w:rPr>
        <w:t>Nguyễn, T. V. (2020). Mức độ lo âu của học sinh trung học phổ thông thành phố Hồ Chí Minh. [VN004 trong cơ sở dữ liệu dự án.]</w:t>
      </w:r>
    </w:p>
    <w:p>
      <w:pPr>
        <w:ind w:left="567" w:hanging="567"/>
        <w:jc w:val="both"/>
      </w:pPr>
      <w:r>
        <w:rPr>
          <w:sz w:val="24"/>
        </w:rPr>
        <w:t>Pascoe, M. C., Hetrick, S. E., &amp; Parker, A. G. (2020). The impact of stress on students in secondary school and higher education. International Journal of Adolescence and Youth, 25(1), 104–112. https://doi.org/10.1080/02673843.2019.1596823 [QT067 trong cơ sở dữ liệu dự án.]</w:t>
      </w:r>
    </w:p>
    <w:p>
      <w:pPr>
        <w:ind w:left="567" w:hanging="567"/>
        <w:jc w:val="both"/>
      </w:pPr>
      <w:r>
        <w:rPr>
          <w:sz w:val="24"/>
        </w:rPr>
        <w:t>Sun, J., Dunne, M. P., Hou, X. Y., &amp; Xu, A. Q. (2011). Educational Stress Scale for Adolescents: Development, validity, and reliability with Chinese students. Journal of Psychoeducational Assessment, 29(6), 534–546. https://doi.org/10.1177/0734282910394976</w:t>
      </w:r>
    </w:p>
    <w:p>
      <w:pPr>
        <w:ind w:left="567" w:hanging="567"/>
        <w:jc w:val="both"/>
      </w:pPr>
      <w:r>
        <w:rPr>
          <w:sz w:val="24"/>
        </w:rPr>
        <w:t>Tran, T. V., Nguyen, H. T. L., Tran, X. M. T., Tashiro, Y., Seino, K., Vo, T. V., &amp; Nakamura, K. (2024). Academic stress among students in Vietnam: A three-year longitudinal study on the impact of family, lifestyle, and academic factors. Journal of Rural Medicine, 19(4), 279–290. https://doi.org/10.2185/jrm.2024-012</w:t>
      </w:r>
    </w:p>
    <w:p>
      <w:pPr>
        <w:ind w:left="567" w:hanging="567"/>
        <w:jc w:val="both"/>
      </w:pPr>
      <w:r>
        <w:rPr>
          <w:sz w:val="24"/>
        </w:rPr>
        <w:t>Zheng, G. F., &amp; Peng, H. Y. (2025). The effects of social media addiction, academic stress, and sleep quality on anxiety symptoms: A cross-sectional study of Chinese vocational students. Psychology Research and Behavior Management, 18, 1571–1584. https://doi.org/10.2147/PRBM.S522652 [QT041 trong cơ sở dữ liệu dự án.]</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