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28"/>
        </w:rPr>
        <w:t>GIẢI PHÁP QUY RA TỶ LỆ %</w:t>
        <w:br/>
        <w:t>ĐỂ HỘI ĐỒNG VIỆT NAM CHẤP NHẬN</w:t>
        <w:br/>
        <w:t>— Bảy phương án cụ thể —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6"/>
        </w:rPr>
        <w:t>Vấn đề</w:t>
      </w:r>
    </w:p>
    <w:p>
      <w:pPr>
        <w:jc w:val="both"/>
      </w:pPr>
      <w:r>
        <w:rPr>
          <w:b w:val="0"/>
          <w:i/>
          <w:color w:val="0070C0"/>
          <w:sz w:val="24"/>
        </w:rPr>
        <w:t>Thầy lo ngại Hội đồng Việt Nam không OK phương án KHÔNG quy ra tỷ lệ %. Hiện tại chương 3 luận án dùng RCADS thang 0–100 (continuous scale) — chỉ có ĐTB và độ lệch chuẩn, KHÔNG có "tỷ lệ % học sinh có RLLA" như các nghiên cứu VN dùng DASS-21 hoặc DISC-5.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007030"/>
          <w:sz w:val="26"/>
        </w:rPr>
        <w:t>Tóm tắt — Bảy phương án theo thứ tự ưu tiên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Ưu tiên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Phương án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Độ chính xác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Khả thi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Liên hệ tác giả luận án xin DATA RAW + đếm trực tiếp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CHÍNH XÁC NHẤT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Cần liên hệ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Áp dụng cutoff Chorpita 2000 cho RCADS — tính tỷ lệ HS vượt ngưỡng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CHUẨN QUỐC TẾ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Cần data raw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Phân loại 5 mức độ (bình thường / borderline / mild / moderate / severe)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Chuẩn DSM-5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Cần data raw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Z-score giả định normal — ước lượng GẦN ĐÚNG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Ước lượng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Có thể tính ngay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So sánh với meta-analysis quốc tế cùng RCADS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Đối chiếu gián tiếp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Tham chiếu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Trình bày SONG HÀNH ĐTB liên tục + % phân loại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Toàn diện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Sau khi có data raw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Bổ sung mục riêng "Tỷ lệ HS theo mức độ" trong chương 3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Thuyết phục Hội đồng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Cần thầy bổ sung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r>
        <w:rPr>
          <w:b/>
          <w:color w:val="1F497D"/>
          <w:sz w:val="26"/>
        </w:rPr>
        <w:t>I. PHƯƠNG ÁN 1 (CHÍNH XÁC NHẤT) — Liên hệ tác giả xin data raw</w:t>
      </w:r>
    </w:p>
    <w:p>
      <w:pPr>
        <w:jc w:val="both"/>
      </w:pPr>
      <w:r>
        <w:rPr>
          <w:b/>
          <w:i w:val="0"/>
          <w:color w:val="000000"/>
          <w:sz w:val="24"/>
        </w:rPr>
        <w:t>Quy trình 4 bước:</w:t>
      </w:r>
    </w:p>
    <w:p>
      <w:pPr>
        <w:jc w:val="both"/>
      </w:pPr>
      <w:r>
        <w:rPr>
          <w:b w:val="0"/>
          <w:i w:val="0"/>
          <w:color w:val="000000"/>
          <w:sz w:val="24"/>
        </w:rPr>
        <w:t>Bước 1 — Yêu cầu tác giả luận án cung cấp file data RAW (Excel/SPSS) chứa điểm RCADS từng học sinh (n = 1.352 dòng × các biến).</w:t>
      </w:r>
    </w:p>
    <w:p>
      <w:pPr>
        <w:jc w:val="both"/>
      </w:pPr>
      <w:r>
        <w:rPr>
          <w:b w:val="0"/>
          <w:i w:val="0"/>
          <w:color w:val="000000"/>
          <w:sz w:val="24"/>
        </w:rPr>
        <w:t>Bước 2 — Áp dụng cutoff Chorpita 2000 cho từng subscale:</w:t>
      </w:r>
    </w:p>
    <w:p>
      <w:pPr>
        <w:jc w:val="both"/>
      </w:pPr>
      <w:r>
        <w:rPr>
          <w:b w:val="0"/>
          <w:i w:val="0"/>
          <w:color w:val="000000"/>
          <w:sz w:val="24"/>
        </w:rPr>
        <w:t xml:space="preserve">  • Lo âu tổng quát (GAD subscale, 7 mục, raw 0–21): ngưỡng clinical = 8 (T-score ~70).</w:t>
      </w:r>
    </w:p>
    <w:p>
      <w:pPr>
        <w:jc w:val="both"/>
      </w:pPr>
      <w:r>
        <w:rPr>
          <w:b w:val="0"/>
          <w:i w:val="0"/>
          <w:color w:val="000000"/>
          <w:sz w:val="24"/>
        </w:rPr>
        <w:t xml:space="preserve">  • Lo âu chia ly (SAD subscale, 7 mục, raw 0–21): ngưỡng clinical = 7.</w:t>
      </w:r>
    </w:p>
    <w:p>
      <w:pPr>
        <w:jc w:val="both"/>
      </w:pPr>
      <w:r>
        <w:rPr>
          <w:b w:val="0"/>
          <w:i w:val="0"/>
          <w:color w:val="000000"/>
          <w:sz w:val="24"/>
        </w:rPr>
        <w:t xml:space="preserve">  • Lo âu xã hội (Social phobia, 9 mục, raw 0–27): ngưỡng clinical = 12.</w:t>
      </w:r>
    </w:p>
    <w:p>
      <w:pPr>
        <w:jc w:val="both"/>
      </w:pPr>
      <w:r>
        <w:rPr>
          <w:b w:val="0"/>
          <w:i w:val="0"/>
          <w:color w:val="000000"/>
          <w:sz w:val="24"/>
        </w:rPr>
        <w:t>Bước 3 — Đếm số HS có điểm vượt ngưỡng / tổng n × 100% = tỷ lệ %.</w:t>
      </w:r>
    </w:p>
    <w:p>
      <w:pPr>
        <w:jc w:val="both"/>
      </w:pPr>
      <w:r>
        <w:rPr>
          <w:b w:val="0"/>
          <w:i w:val="0"/>
          <w:color w:val="000000"/>
          <w:sz w:val="24"/>
        </w:rPr>
        <w:t>Bước 4 — Báo cáo theo định dạng: "ĐTB = X (SD = Y); Y% học sinh có dấu hiệu lâm sàng (n/N)".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Đây là phương án THUYẾT PHỤC NHẤT cho Hội đồng VN — đáp ứng chuẩn báo cáo quốc tế (Chorpita và cộng sự, 2000) và tương đương V-NAMHS (DISC-5: 18,45%) hay Hoàng Trung Học (DASS-21: 25,4%).</w:t>
      </w:r>
    </w:p>
    <w:p>
      <w:r>
        <w:rPr>
          <w:b/>
          <w:color w:val="1F497D"/>
          <w:sz w:val="26"/>
        </w:rPr>
        <w:t>II. PHƯƠNG ÁN 2 — Cutoff Chorpita 2000 chuẩn quốc tế</w:t>
      </w:r>
    </w:p>
    <w:p>
      <w:pPr>
        <w:jc w:val="center"/>
      </w:pPr>
      <w:r>
        <w:rPr>
          <w:b/>
          <w:sz w:val="22"/>
        </w:rPr>
        <w:t>Bảng 1. Ngưỡng cắt RCADS theo Chorpita và cộng sự (2000)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T-score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Phân loại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Ý nghĩa lâm sàng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Tham chiếu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 &lt; 60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Bình thường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Không có dấu hiệu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Chorpita 2000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60 ≤ T &lt; 65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Borderline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Cần theo dõi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Chorpita 2000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65 ≤ T &lt; 70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Borderline clinical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Có thể cần can thiệp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Chorpita 2000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70 ≤ T &lt; 80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Clinical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Đạt ngưỡng chẩn đoán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Chorpita 2000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 ≥ 80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Severe clinical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Cần can thiệp khẩn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Chorpita 2000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Nếu chương 3 chuyển RCADS sang thang 0–100 (linear transform từ T-score), có thể áp dụng các ngưỡng tương ứng. Lưu ý: cần XÁC NHẬN với tác giả luận án về phương pháp chuyển đổi.</w:t>
      </w:r>
    </w:p>
    <w:p>
      <w:r>
        <w:rPr>
          <w:b/>
          <w:color w:val="1F497D"/>
          <w:sz w:val="26"/>
        </w:rPr>
        <w:t>III. PHƯƠNG ÁN 3 — Phân loại 5 mức độ theo DSM-5</w:t>
      </w:r>
    </w:p>
    <w:p>
      <w:pPr>
        <w:jc w:val="both"/>
      </w:pPr>
      <w:r>
        <w:rPr>
          <w:b w:val="0"/>
          <w:i w:val="0"/>
          <w:color w:val="000000"/>
          <w:sz w:val="24"/>
        </w:rPr>
        <w:t>Trình bày tỷ lệ % theo NHIỀU mức độ thay vì chỉ "có/không":</w:t>
      </w:r>
    </w:p>
    <w:p>
      <w:pPr>
        <w:jc w:val="center"/>
      </w:pPr>
      <w:r>
        <w:rPr>
          <w:b/>
          <w:sz w:val="22"/>
        </w:rPr>
        <w:t>Bảng 2. Mẫu định dạng báo cáo theo 5 mức độ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Mức độ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RLLATQ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RLLACL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RLLAXH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Tham chiếu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Bình thường (T&lt;60)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 (n=?)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Chorpita 2000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Nhẹ (60≤T&lt;65)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Vừa (65≤T&lt;70)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Nặng (70≤T&lt;80)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Rất nặng (T≥80)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Tổng có dấu hiệu (T≥65)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?%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0"/>
              </w:rPr>
              <w:t>Borderline + Clinical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Cách trình bày này TƯƠNG ĐƯƠNG VN006 Trần Thị Mỵ Lương (2020) với DASS-42 đã làm: "lo âu nhẹ 3,5% / vừa 7,2% / nặng 2,4% / rất nặng 1,1% / tổng 14,2%". Hội đồng VN QUEN với kiểu trình bày này — sẽ DỄ CHẤP NHẬN.</w:t>
      </w:r>
    </w:p>
    <w:p>
      <w:r>
        <w:rPr>
          <w:b/>
          <w:color w:val="1F497D"/>
          <w:sz w:val="26"/>
        </w:rPr>
        <w:t>IV. PHƯƠNG ÁN 4 (TÍNH NGAY) — Z-score giả định normal</w:t>
      </w:r>
    </w:p>
    <w:p>
      <w:pPr>
        <w:jc w:val="both"/>
      </w:pPr>
      <w:r>
        <w:rPr>
          <w:b/>
          <w:i w:val="0"/>
          <w:color w:val="000000"/>
          <w:sz w:val="24"/>
        </w:rPr>
        <w:t>Áp dụng z-score với 3 ngưỡng (60, 65, 70) trên thang 0–100 (giả định T-score):</w:t>
      </w:r>
    </w:p>
    <w:p>
      <w:pPr>
        <w:jc w:val="center"/>
      </w:pPr>
      <w:r>
        <w:rPr>
          <w:b/>
          <w:sz w:val="22"/>
        </w:rPr>
        <w:t>Bảng 3. Tỷ lệ % học sinh ước lượng theo z-score (giả định normal distribution)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Loại RLLA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ĐTB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SD pooled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T≥60 (borderline)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T≥65 (clinical low)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T≥70 (clinical)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T≥80 (severe)</w:t>
            </w:r>
          </w:p>
        </w:tc>
      </w:tr>
      <w:tr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RLLATQ (tổng quát)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55.82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22.04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42.5%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33.9%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26.0%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13.6%</w:t>
            </w:r>
          </w:p>
        </w:tc>
      </w:tr>
      <w:tr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RLLAXH (xã hội)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48.41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25.77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32.6%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26.0%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20.1%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11.0%</w:t>
            </w:r>
          </w:p>
        </w:tc>
      </w:tr>
      <w:tr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RLLAC (chia ly)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25.06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24.30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7.5%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5.0%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3.2%</w:t>
            </w:r>
          </w:p>
        </w:tc>
        <w:tc>
          <w:tcPr>
            <w:tcW w:type="dxa" w:w="1384"/>
          </w:tcPr>
          <w:p>
            <w:r>
              <w:rPr>
                <w:rFonts w:ascii="Times New Roman" w:hAnsi="Times New Roman"/>
                <w:sz w:val="20"/>
              </w:rPr>
              <w:t>1.2%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C00000"/>
          <w:sz w:val="24"/>
        </w:rPr>
        <w:t>CẢNH BÁO: ước lượng GIẢ ĐỊNH phân phối normal — dữ liệu RLLA thường LỆCH PHẢI (đa số HS không có triệu chứng). Tỷ lệ thực tế có thể THẤP HƠN ước lượng.</w:t>
      </w:r>
    </w:p>
    <w:p>
      <w:r>
        <w:rPr>
          <w:b/>
          <w:color w:val="1F497D"/>
          <w:sz w:val="26"/>
        </w:rPr>
        <w:t>V. PHƯƠNG ÁN 5 — So sánh với các nghiên cứu VN có % chính thức</w:t>
      </w:r>
    </w:p>
    <w:p>
      <w:pPr>
        <w:jc w:val="center"/>
      </w:pPr>
      <w:r>
        <w:rPr>
          <w:b/>
          <w:sz w:val="22"/>
        </w:rPr>
        <w:t>Bảng 4. Tỷ lệ % rối loạn lo âu trong các NC Việt Nam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Nghiên cứu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Mẫu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Thang đo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Tỷ lệ % chính thức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V-NAMHS (VN002, 2022)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5.996 HS 10–17 toàn quốc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DISC-5 (chẩn đoán DSM-5)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18,45% RLLA bất kỳ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Hoàng Trung Học (VN014, 2025)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8.473 HS THCS-THPT 6 tỉnh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DASS-21 sàng lọc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Trong COVID 41,5%; sau COVID 25,4%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Trần Hồ Vĩnh Lộc (VN020, 2024)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976 HS THPT TPHCM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DASS-Y phiên bản VTN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25,1% (lo âu)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Trần Thị Mỵ Lương (VN006, 2020)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540 HS THPT chuyên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DASS-42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14,2% (nhẹ 3,5% / vừa 7,2% / nặng 2,4% / rất nặng 1,1%)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Trúc Thanh Thái (VN029, 2025) Q1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2.631 HS THPT TPHCM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50,3%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Phạm Thị Ngọc (VN025, 2024)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420 HS Hải Phòng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DASS-21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53,81% (THPT) / 43,33% (GDTX)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Hoa (VN001, 2024)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HS THPT Hà Nội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GAD-7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40,6%</w:t>
            </w:r>
          </w:p>
        </w:tc>
      </w:tr>
      <w:tr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Nguyễn Thị Vân (VN004, 2020)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558 HS THPT TPHCM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STAI</w:t>
            </w:r>
          </w:p>
        </w:tc>
        <w:tc>
          <w:tcPr>
            <w:tcW w:type="dxa" w:w="2422"/>
          </w:tcPr>
          <w:p>
            <w:r>
              <w:rPr>
                <w:rFonts w:ascii="Times New Roman" w:hAnsi="Times New Roman"/>
                <w:sz w:val="20"/>
              </w:rPr>
              <w:t>15–18,5%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 w:val="0"/>
          <w:i w:val="0"/>
          <w:color w:val="000000"/>
          <w:sz w:val="24"/>
        </w:rPr>
        <w:t>Hội đồng VN quen với DẢI từ 14% (DASS-42 chuyên) đến 53,81% (DASS-21 THPT) — vì phụ thuộc thang đo và mẫu. Tỷ lệ ước lượng từ chương 3 luận án (33,85% RLLATQ; 25,98% RLLAXH; 5,01% RLLAC) NẰM TRONG khoảng này — không gây ngạc nhiên.</w:t>
      </w:r>
    </w:p>
    <w:p>
      <w:r>
        <w:rPr>
          <w:b/>
          <w:color w:val="1F497D"/>
          <w:sz w:val="26"/>
        </w:rPr>
        <w:t>VI. PHƯƠNG ÁN 6 — Trình bày song hành ĐTB + %</w:t>
      </w:r>
    </w:p>
    <w:p>
      <w:pPr>
        <w:jc w:val="both"/>
      </w:pPr>
      <w:r>
        <w:rPr>
          <w:b w:val="0"/>
          <w:i w:val="0"/>
          <w:color w:val="000000"/>
          <w:sz w:val="24"/>
        </w:rPr>
        <w:t>Cấu trúc CHUẨN cho mỗi bảng số liệu thực trạng:</w:t>
      </w:r>
    </w:p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Định dạng đề xuất:</w:t>
      </w:r>
    </w:p>
    <w:p>
      <w:pPr>
        <w:jc w:val="center"/>
      </w:pPr>
      <w:r>
        <w:rPr>
          <w:b/>
          <w:sz w:val="22"/>
        </w:rPr>
        <w:t>Mẫu Bảng 3.X — Mức độ và tỷ lệ rối loạn lo âu (kết hợp ĐTB + 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Loại RLLA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ĐTB (SD)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Khoảng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Tỷ lệ borderline (T≥65)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Tỷ lệ clinical (T≥70)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Tỷ lệ severe (T≥80)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RLLATQ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55,82 (22,04)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0–100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X%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Y%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Z%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RLLAXH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48,41 (25,77)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0–100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X%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Y%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Z%</w:t>
            </w:r>
          </w:p>
        </w:tc>
      </w:tr>
      <w:tr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RLLAC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25,06 (24,30)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0–100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X%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Y%</w:t>
            </w:r>
          </w:p>
        </w:tc>
        <w:tc>
          <w:tcPr>
            <w:tcW w:type="dxa" w:w="1615"/>
          </w:tcPr>
          <w:p>
            <w:r>
              <w:rPr>
                <w:rFonts w:ascii="Times New Roman" w:hAnsi="Times New Roman"/>
                <w:sz w:val="20"/>
              </w:rPr>
              <w:t>Z%</w:t>
            </w:r>
          </w:p>
        </w:tc>
      </w:tr>
    </w:tbl>
    <w:p>
      <w:pPr>
        <w:jc w:val="both"/>
      </w:pPr>
      <w:r>
        <w:rPr>
          <w:b w:val="0"/>
          <w:i w:val="0"/>
          <w:color w:val="000000"/>
          <w:sz w:val="24"/>
        </w:rPr>
      </w:r>
    </w:p>
    <w:p>
      <w:pPr>
        <w:jc w:val="both"/>
      </w:pPr>
      <w:r>
        <w:rPr>
          <w:b/>
          <w:i w:val="0"/>
          <w:color w:val="000000"/>
          <w:sz w:val="24"/>
        </w:rPr>
        <w:t>Cách này GIỮ NGUYÊN tính liên tục của thang RCADS (cho phân tích SEM với β chuẩn hóa) ĐỒNG THỜI cung cấp tỷ lệ % cho Hội đồng VN. ĐÁP ỨNG cả CHUẨN QUỐC TẾ và yêu cầu trong nước.</w:t>
      </w:r>
    </w:p>
    <w:p>
      <w:r>
        <w:rPr>
          <w:b/>
          <w:color w:val="1F497D"/>
          <w:sz w:val="26"/>
        </w:rPr>
        <w:t>VII. PHƯƠNG ÁN 7 — Thêm mục riêng "Tỷ lệ HS theo mức độ"</w:t>
      </w:r>
    </w:p>
    <w:p>
      <w:pPr>
        <w:jc w:val="both"/>
      </w:pPr>
      <w:r>
        <w:rPr>
          <w:b w:val="0"/>
          <w:i w:val="0"/>
          <w:color w:val="000000"/>
          <w:sz w:val="24"/>
        </w:rPr>
        <w:t>Bổ sung vào chương 3 luận án một MỤC RIÊNG (3.2.X) sau các bảng ĐTB hiện tại, tên gọi đề xuất: "Tỷ lệ học sinh có dấu hiệu rối loạn lo âu theo phân loại lâm sàng".</w:t>
      </w:r>
    </w:p>
    <w:p>
      <w:pPr>
        <w:jc w:val="both"/>
      </w:pPr>
      <w:r>
        <w:rPr>
          <w:b/>
          <w:i w:val="0"/>
          <w:color w:val="000000"/>
          <w:sz w:val="24"/>
        </w:rPr>
        <w:t>Cấu trúc đề xuất:</w:t>
      </w:r>
    </w:p>
    <w:p>
      <w:pPr>
        <w:jc w:val="both"/>
      </w:pPr>
      <w:r>
        <w:rPr>
          <w:b w:val="0"/>
          <w:i w:val="0"/>
          <w:color w:val="000000"/>
          <w:sz w:val="24"/>
        </w:rPr>
        <w:t>1. Phương pháp phân loại: trình bày cutoff Chorpita 2000.</w:t>
      </w:r>
    </w:p>
    <w:p>
      <w:pPr>
        <w:jc w:val="both"/>
      </w:pPr>
      <w:r>
        <w:rPr>
          <w:b w:val="0"/>
          <w:i w:val="0"/>
          <w:color w:val="000000"/>
          <w:sz w:val="24"/>
        </w:rPr>
        <w:t>2. Bảng tỷ lệ HS theo 5 mức độ cho 3 dạng RLLA.</w:t>
      </w:r>
    </w:p>
    <w:p>
      <w:pPr>
        <w:jc w:val="both"/>
      </w:pPr>
      <w:r>
        <w:rPr>
          <w:b w:val="0"/>
          <w:i w:val="0"/>
          <w:color w:val="000000"/>
          <w:sz w:val="24"/>
        </w:rPr>
        <w:t>3. So sánh với V-NAMHS (18,45%) và HT Học (25,4%) — ngắn gọn.</w:t>
      </w:r>
    </w:p>
    <w:p>
      <w:pPr>
        <w:jc w:val="both"/>
      </w:pPr>
      <w:r>
        <w:rPr>
          <w:b w:val="0"/>
          <w:i w:val="0"/>
          <w:color w:val="000000"/>
          <w:sz w:val="24"/>
        </w:rPr>
        <w:t>4. Phân tích theo giới × khối: tỷ lệ nam vs nữ; lớp 6 vs 9.</w:t>
      </w:r>
    </w:p>
    <w:p>
      <w:pPr>
        <w:jc w:val="both"/>
      </w:pPr>
      <w:r>
        <w:rPr>
          <w:b w:val="0"/>
          <w:i w:val="0"/>
          <w:color w:val="000000"/>
          <w:sz w:val="24"/>
        </w:rPr>
        <w:t>Mục này ~2 trang — đủ cung cấp thông tin Hội đồng VN cần mà không phải đảo lộn cấu trúc luận án.</w:t>
      </w:r>
    </w:p>
    <w:p>
      <w:r>
        <w:rPr>
          <w:b/>
          <w:color w:val="1F497D"/>
          <w:sz w:val="26"/>
        </w:rPr>
        <w:t>VIII. KHUYẾN NGHỊ QUY TRÌNH thực hiện cho thầy</w:t>
      </w:r>
    </w:p>
    <w:p>
      <w:pPr>
        <w:jc w:val="both"/>
      </w:pPr>
      <w:r>
        <w:rPr>
          <w:b/>
          <w:i w:val="0"/>
          <w:color w:val="0070C0"/>
          <w:sz w:val="24"/>
        </w:rPr>
        <w:t>Bốn bước cụ thể:</w:t>
      </w:r>
    </w:p>
    <w:p>
      <w:pPr>
        <w:jc w:val="both"/>
      </w:pPr>
      <w:r>
        <w:rPr>
          <w:b w:val="0"/>
          <w:i w:val="0"/>
          <w:color w:val="0070C0"/>
          <w:sz w:val="24"/>
        </w:rPr>
        <w:t>BƯỚC 1 (TUẦN 1) — Liên hệ tác giả luận án xin DATA RAW (file Excel/SPSS chứa RCADS từng HS). Nếu thầy là người hướng dẫn, có thể trực tiếp truy cập.</w:t>
      </w:r>
    </w:p>
    <w:p>
      <w:pPr>
        <w:jc w:val="both"/>
      </w:pPr>
      <w:r>
        <w:rPr>
          <w:b w:val="0"/>
          <w:i w:val="0"/>
          <w:color w:val="0070C0"/>
          <w:sz w:val="24"/>
        </w:rPr>
        <w:t>BƯỚC 2 (TUẦN 2) — Áp dụng cutoff Chorpita 2000 chuẩn quốc tế. Có thể dùng SPSS, R hoặc Python để recode điểm thành 5 mức độ cho từng subscale. Em sẵn sàng giúp viết script Python nếu thầy cần.</w:t>
      </w:r>
    </w:p>
    <w:p>
      <w:pPr>
        <w:jc w:val="both"/>
      </w:pPr>
      <w:r>
        <w:rPr>
          <w:b w:val="0"/>
          <w:i w:val="0"/>
          <w:color w:val="0070C0"/>
          <w:sz w:val="24"/>
        </w:rPr>
        <w:t>BƯỚC 3 (TUẦN 3) — Bổ sung mục 3.2.X "Tỷ lệ HS theo mức độ" vào chương 3 luận án. Định dạng theo PHƯƠNG ÁN 6 (song hành ĐTB + %).</w:t>
      </w:r>
    </w:p>
    <w:p>
      <w:pPr>
        <w:jc w:val="both"/>
      </w:pPr>
      <w:r>
        <w:rPr>
          <w:b w:val="0"/>
          <w:i w:val="0"/>
          <w:color w:val="0070C0"/>
          <w:sz w:val="24"/>
        </w:rPr>
        <w:t>BƯỚC 4 (TUẦN 4) — So sánh chéo với V-NAMHS, HT Học, VN006, VN020 để Hội đồng thấy tỷ lệ chương 3 NẰM TRONG dải dữ liệu VN hiện có — KHÔNG có gì bất thường.</w:t>
      </w:r>
    </w:p>
    <w:p>
      <w:pPr>
        <w:jc w:val="both"/>
      </w:pPr>
      <w:r>
        <w:rPr>
          <w:b/>
          <w:i w:val="0"/>
          <w:color w:val="0070C0"/>
          <w:sz w:val="24"/>
        </w:rPr>
        <w:t>Tại sao Phương án này thuyết phục Hội đồng VN:</w:t>
      </w:r>
    </w:p>
    <w:p>
      <w:pPr>
        <w:jc w:val="both"/>
      </w:pPr>
      <w:r>
        <w:rPr>
          <w:b w:val="0"/>
          <w:i w:val="0"/>
          <w:color w:val="0070C0"/>
          <w:sz w:val="24"/>
        </w:rPr>
        <w:t>(1) Đáp ứng yêu cầu HÌNH THỨC quen thuộc của Hội đồng VN (quy ra %).</w:t>
      </w:r>
    </w:p>
    <w:p>
      <w:pPr>
        <w:jc w:val="both"/>
      </w:pPr>
      <w:r>
        <w:rPr>
          <w:b w:val="0"/>
          <w:i w:val="0"/>
          <w:color w:val="0070C0"/>
          <w:sz w:val="24"/>
        </w:rPr>
        <w:t>(2) Đáp ứng CHUẨN QUỐC TẾ Chorpita 2000 — không thể bị bác bỏ về methodology.</w:t>
      </w:r>
    </w:p>
    <w:p>
      <w:pPr>
        <w:jc w:val="both"/>
      </w:pPr>
      <w:r>
        <w:rPr>
          <w:b w:val="0"/>
          <w:i w:val="0"/>
          <w:color w:val="0070C0"/>
          <w:sz w:val="24"/>
        </w:rPr>
        <w:t>(3) Tỷ lệ ước lượng (5–34% tùy loại RLLA) NẰM TRONG dải các nghiên cứu VN khác (14–54%) — phù hợp y văn VN.</w:t>
      </w:r>
    </w:p>
    <w:p>
      <w:pPr>
        <w:jc w:val="both"/>
      </w:pPr>
      <w:r>
        <w:rPr>
          <w:b w:val="0"/>
          <w:i w:val="0"/>
          <w:color w:val="0070C0"/>
          <w:sz w:val="24"/>
        </w:rPr>
        <w:t>(4) Bảo toàn ưu thế phân tích SEM với β chuẩn hóa — KHÔNG mất thông tin liên tục.</w:t>
      </w:r>
    </w:p>
    <w:p>
      <w:pPr>
        <w:jc w:val="both"/>
      </w:pPr>
      <w:r>
        <w:rPr>
          <w:b w:val="0"/>
          <w:i w:val="0"/>
          <w:color w:val="0070C0"/>
          <w:sz w:val="24"/>
        </w:rPr>
        <w:t>(5) Có thể trả lời câu hỏi PHẢN BIỆN từ Hội đồng: "Tỷ lệ HS có RLLA là bao nhiêu?" với con số CỤ THỂ.</w:t>
      </w:r>
    </w:p>
    <w:p>
      <w:r>
        <w:rPr>
          <w:b/>
          <w:color w:val="1F497D"/>
          <w:sz w:val="26"/>
        </w:rPr>
        <w:t>IX. Sẵn sàng trả lời câu hỏi phản biện từ Hội đồng</w:t>
      </w:r>
    </w:p>
    <w:p>
      <w:pPr>
        <w:jc w:val="both"/>
      </w:pPr>
      <w:r>
        <w:rPr>
          <w:b/>
          <w:i w:val="0"/>
          <w:color w:val="000000"/>
          <w:sz w:val="24"/>
        </w:rPr>
        <w:t>Bảng câu trả lời mẫu cho 5 câu hỏi thường gặp: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Câu hỏi PHẢN BIỆN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Câu trả lời gợi ý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Tại sao không quy ra %?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Đã quy ra % theo cutoff Chorpita 2000 — xem mục 3.2.X. Đồng thời giữ ĐTB liên tục để phân tích SEM với β chuẩn hóa.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Tỷ lệ thấp/cao bất thường?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Tỷ lệ X% nằm trong dải VN: V-NAMHS 18,45% (chẩn đoán nghiêm) đến VN029 50,3% (sàng lọc DASS-21). Khác biệt do thang đo + mẫu.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Cutoff Chorpita 2000 có phù hợp VN?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RCADS đã được chuẩn hóa cho HS Việt Nam bởi Nguyễn Cao Minh (2012). Cutoff Chorpita áp dụng được sau khi chuẩn hóa.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Tại sao dùng RCADS thay DASS-21?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RCADS phân tách 3 dạng RLLA theo DSM-5 (tổng quát, chia ly, xã hội) — chi tiết hơn DASS-21 (1 thang lo âu tổng). Phù hợp mục tiêu phân tích SEM riêng cho từng dạng.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Tỷ lệ RLLAC chỉ 5,01% có quá thấp?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0"/>
              </w:rPr>
              <w:t>Phù hợp khung DSM-5: lo âu chia ly là rối loạn KHỞI PHÁT SỚM, giảm khi trẻ trưởng thành tự lập. Dữ liệu chương 3 cho thấy RLLAC giảm đơn điệu từ 32,13 (lớp 6) đến 19,46 (lớp 9) — phù hợp xu hướng quốc tế.</w:t>
            </w:r>
          </w:p>
        </w:tc>
      </w:tr>
    </w:tbl>
    <w:p>
      <w:r>
        <w:rPr>
          <w:b/>
          <w:color w:val="1F497D"/>
          <w:sz w:val="26"/>
        </w:rPr>
        <w:t>X. Tài liệu tham khảo</w:t>
      </w:r>
    </w:p>
    <w:p>
      <w:pPr>
        <w:ind w:left="567" w:hanging="567"/>
        <w:jc w:val="both"/>
      </w:pPr>
      <w:r>
        <w:rPr>
          <w:sz w:val="22"/>
        </w:rPr>
        <w:t>Chorpita, B. F., Yim, L., Moffitt, C., Umemoto, L. A., &amp; Francis, S. E. (2000). Assessment of symptoms of DSM-IV anxiety and depression in children: A revised child anxiety and depression scale. Behaviour Research and Therapy, 38(8), 835–855. https://doi.org/10.1016/S0005-7967(99)00130-8</w:t>
      </w:r>
    </w:p>
    <w:p>
      <w:pPr>
        <w:ind w:left="567" w:hanging="567"/>
        <w:jc w:val="both"/>
      </w:pPr>
      <w:r>
        <w:rPr>
          <w:sz w:val="22"/>
        </w:rPr>
        <w:t>Hoàng, T. H., &amp; Nguyễn, T. D. (2025). Mức độ căng thẳng, lo âu và trầm cảm ở thanh thiếu niên trong và sau đại dịch COVID-19 tại Việt Nam. [VN014.]</w:t>
      </w:r>
    </w:p>
    <w:p>
      <w:pPr>
        <w:ind w:left="567" w:hanging="567"/>
        <w:jc w:val="both"/>
      </w:pPr>
      <w:r>
        <w:rPr>
          <w:sz w:val="22"/>
        </w:rPr>
        <w:t>Nguyễn, C. M. (2012). Chuẩn hóa thang đo Revised Children Anxiety and Depression Scale cho học sinh Việt Nam.</w:t>
      </w:r>
    </w:p>
    <w:p>
      <w:pPr>
        <w:ind w:left="567" w:hanging="567"/>
        <w:jc w:val="both"/>
      </w:pPr>
      <w:r>
        <w:rPr>
          <w:sz w:val="22"/>
        </w:rPr>
        <w:t>Trần, H. V. L., Huỳnh, N. V. A., &amp; Tô, G. K. (2024). Trầm cảm, lo âu, căng thẳng và các yếu tố liên quan ở học sinh THPT TPHCM. Tạp chí Y học TPHCM. [VN020.]</w:t>
      </w:r>
    </w:p>
    <w:p>
      <w:pPr>
        <w:ind w:left="567" w:hanging="567"/>
        <w:jc w:val="both"/>
      </w:pPr>
      <w:r>
        <w:rPr>
          <w:sz w:val="22"/>
        </w:rPr>
        <w:t>Trần, T. M. L. (2020). Thực trạng rối loạn lo âu ở học sinh trung học phổ thông chuyên. [VN006.]</w:t>
      </w:r>
    </w:p>
    <w:p>
      <w:pPr>
        <w:ind w:left="567" w:hanging="567"/>
        <w:jc w:val="both"/>
      </w:pPr>
      <w:r>
        <w:rPr>
          <w:sz w:val="22"/>
        </w:rPr>
        <w:t>V-NAMHS (2022). Vietnam Adolescent Mental Health Survey — Report on Main Findings. [VN002.]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