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CHỈ SỐ I² (I BÌNH PHƯƠNG) LÀ GÌ?</w:t>
      </w:r>
    </w:p>
    <w:p>
      <w:pPr>
        <w:jc w:val="center"/>
      </w:pPr>
      <w:r>
        <w:rPr>
          <w:rFonts w:ascii="Times New Roman" w:hAnsi="Times New Roman"/>
          <w:i/>
          <w:color w:val="555555"/>
          <w:sz w:val="22"/>
        </w:rPr>
        <w:t>Trả lời thầy về một thuật ngữ thống kê thường gặp trong phân tích gộp</w:t>
      </w:r>
    </w:p>
    <w:p>
      <w:r>
        <w:rPr>
          <w:rFonts w:ascii="Times New Roman" w:hAnsi="Times New Roman"/>
          <w:b w:val="0"/>
          <w:i w:val="0"/>
          <w:sz w:val="24"/>
        </w:rPr>
      </w:r>
    </w:p>
    <w:p>
      <w:pPr>
        <w:jc w:val="center"/>
      </w:pPr>
      <w:r>
        <w:rPr>
          <w:rFonts w:ascii="Times New Roman" w:hAnsi="Times New Roman"/>
          <w:i/>
          <w:color w:val="555555"/>
          <w:sz w:val="22"/>
        </w:rPr>
        <w:t>Trợ lý nghiên cứu — 27/04/2026</w:t>
      </w:r>
    </w:p>
    <w:p>
      <w:pPr>
        <w:jc w:val="center"/>
      </w:pPr>
      <w:r>
        <w:rPr>
          <w:rFonts w:ascii="Times New Roman" w:hAnsi="Times New Roman"/>
          <w:i/>
          <w:color w:val="555555"/>
          <w:sz w:val="22"/>
        </w:rPr>
        <w:t>Tiếng Việt thuần — chú thích thuật ngữ Anh trong ngoặc</w:t>
      </w:r>
    </w:p>
    <w:p>
      <w:r>
        <w:rPr>
          <w:rFonts w:ascii="Times New Roman" w:hAnsi="Times New Roman"/>
          <w:b/>
          <w:color w:val="0070C0"/>
          <w:sz w:val="30"/>
        </w:rPr>
        <w:t>1. CÂU TRẢ LỜI NHANH</w:t>
      </w:r>
    </w:p>
    <w:p>
      <w:r>
        <w:rPr>
          <w:rFonts w:ascii="Times New Roman" w:hAnsi="Times New Roman"/>
          <w:b w:val="0"/>
          <w:i/>
          <w:color w:val="555555"/>
          <w:sz w:val="24"/>
        </w:rPr>
        <w:t>Câu hỏi của thầy: "Có một số công thức toán có I bình phương, nghĩa là gì vậy em?"</w:t>
      </w:r>
    </w:p>
    <w:p>
      <w:r>
        <w:rPr>
          <w:rFonts w:ascii="Times New Roman" w:hAnsi="Times New Roman"/>
          <w:b w:val="0"/>
          <w:i w:val="0"/>
          <w:sz w:val="24"/>
        </w:rPr>
      </w:r>
    </w:p>
    <w:p>
      <w:r>
        <w:rPr>
          <w:rFonts w:ascii="Times New Roman" w:hAnsi="Times New Roman"/>
          <w:b/>
          <w:i w:val="0"/>
          <w:sz w:val="24"/>
        </w:rPr>
        <w:t>TRẢ LỜI THẲNG:</w:t>
      </w:r>
    </w:p>
    <w:p>
      <w:r>
        <w:rPr>
          <w:rFonts w:ascii="Times New Roman" w:hAnsi="Times New Roman"/>
          <w:b/>
          <w:i w:val="0"/>
          <w:sz w:val="24"/>
        </w:rPr>
        <w:t>I² (đọc là "I bình phương", tiếng Anh: "I-squared") là CHỈ SỐ ĐO MỨC ĐỘ KHÔNG ĐỒNG NHẤT GIỮA CÁC NGHIÊN CỨU (heterogeneity index) trong PHÂN TÍCH GỘP (meta-analysis). Khi tổng hợp nhiều nghiên cứu để trả lời cùng một câu hỏi (ví dụ "liệu pháp nhận thức hành vi có giảm lo âu ở học sinh không?"), các nghiên cứu thường cho kết quả khác nhau. I² cho biết PHẦN TRĂM của sự khác biệt đó là DO sự khác biệt thực sự giữa các nghiên cứu (chứ không phải do may rủi / sai số ngẫu nhiên).</w:t>
      </w:r>
    </w:p>
    <w:p>
      <w:r>
        <w:rPr>
          <w:rFonts w:ascii="Times New Roman" w:hAnsi="Times New Roman"/>
          <w:b w:val="0"/>
          <w:i w:val="0"/>
          <w:sz w:val="24"/>
        </w:rPr>
      </w:r>
    </w:p>
    <w:p>
      <w:r>
        <w:rPr>
          <w:rFonts w:ascii="Times New Roman" w:hAnsi="Times New Roman"/>
          <w:b w:val="0"/>
          <w:i w:val="0"/>
          <w:sz w:val="24"/>
        </w:rPr>
        <w:t>Phổ giá trị: 0% đến 100%. Càng cao thì các nghiên cứu càng KHÔNG đồng nhất.</w:t>
      </w:r>
    </w:p>
    <w:p>
      <w:r>
        <w:rPr>
          <w:rFonts w:ascii="Times New Roman" w:hAnsi="Times New Roman"/>
          <w:b w:val="0"/>
          <w:i/>
          <w:sz w:val="24"/>
        </w:rPr>
        <w:t>Người đề xuất: Higgins và Thompson năm 2002 (đăng trên tạp chí Statistics in Medicine).</w:t>
      </w:r>
    </w:p>
    <w:p>
      <w:r>
        <w:rPr>
          <w:rFonts w:ascii="Times New Roman" w:hAnsi="Times New Roman"/>
          <w:b/>
          <w:color w:val="0070C0"/>
          <w:sz w:val="30"/>
        </w:rPr>
        <w:t>2. ĐỊNH NGHĨA + CÔNG THỨC</w:t>
      </w:r>
    </w:p>
    <w:p>
      <w:r>
        <w:rPr>
          <w:rFonts w:ascii="Times New Roman" w:hAnsi="Times New Roman"/>
          <w:b/>
          <w:color w:val="0070C0"/>
          <w:sz w:val="26"/>
        </w:rPr>
        <w:t>2.1. Định nghĩa</w:t>
      </w:r>
    </w:p>
    <w:p>
      <w:r>
        <w:rPr>
          <w:rFonts w:ascii="Times New Roman" w:hAnsi="Times New Roman"/>
          <w:b w:val="0"/>
          <w:i w:val="0"/>
          <w:sz w:val="24"/>
        </w:rPr>
        <w:t>Hai khái niệm liên quan trong phân tích gộp:</w:t>
      </w:r>
    </w:p>
    <w:p>
      <w:r>
        <w:rPr>
          <w:rFonts w:ascii="Times New Roman" w:hAnsi="Times New Roman"/>
          <w:b w:val="0"/>
          <w:i w:val="0"/>
          <w:sz w:val="24"/>
        </w:rPr>
        <w:t>• HOMOGENEITY (đồng nhất): các nghiên cứu cho kết quả tương tự nhau — chỉ khác nhau do may rủi (sai số ngẫu nhiên — random error).</w:t>
      </w:r>
    </w:p>
    <w:p>
      <w:r>
        <w:rPr>
          <w:rFonts w:ascii="Times New Roman" w:hAnsi="Times New Roman"/>
          <w:b w:val="0"/>
          <w:i w:val="0"/>
          <w:sz w:val="24"/>
        </w:rPr>
        <w:t>• HETEROGENEITY (không đồng nhất): các nghiên cứu cho kết quả khác nhau ĐÁNG KỂ — do sự khác biệt thực sự về thiết kế, mẫu, can thiệp, bối cảnh.</w:t>
      </w:r>
    </w:p>
    <w:p>
      <w:r>
        <w:rPr>
          <w:rFonts w:ascii="Times New Roman" w:hAnsi="Times New Roman"/>
          <w:b w:val="0"/>
          <w:i w:val="0"/>
          <w:sz w:val="24"/>
        </w:rPr>
      </w:r>
    </w:p>
    <w:p>
      <w:r>
        <w:rPr>
          <w:rFonts w:ascii="Times New Roman" w:hAnsi="Times New Roman"/>
          <w:b w:val="0"/>
          <w:i w:val="0"/>
          <w:sz w:val="24"/>
        </w:rPr>
        <w:t>I² đo PHẦN TRĂM tổng phương sai (variance) trong các kích thước hiệu ứng (effect sizes) là DO heterogeneity thực sự, không phải do random error.</w:t>
      </w:r>
    </w:p>
    <w:p>
      <w:r>
        <w:rPr>
          <w:rFonts w:ascii="Times New Roman" w:hAnsi="Times New Roman"/>
          <w:b/>
          <w:color w:val="0070C0"/>
          <w:sz w:val="26"/>
        </w:rPr>
        <w:t>2.2. Công thức</w:t>
      </w:r>
    </w:p>
    <w:p>
      <w:r>
        <w:rPr>
          <w:rFonts w:ascii="Times New Roman" w:hAnsi="Times New Roman"/>
          <w:b/>
          <w:i w:val="0"/>
          <w:sz w:val="28"/>
        </w:rPr>
        <w:t>I² = (Q − df) / Q × 100%</w:t>
      </w:r>
    </w:p>
    <w:p>
      <w:r>
        <w:rPr>
          <w:rFonts w:ascii="Times New Roman" w:hAnsi="Times New Roman"/>
          <w:b w:val="0"/>
          <w:i w:val="0"/>
          <w:sz w:val="24"/>
        </w:rPr>
      </w:r>
    </w:p>
    <w:p>
      <w:r>
        <w:rPr>
          <w:rFonts w:ascii="Times New Roman" w:hAnsi="Times New Roman"/>
          <w:b w:val="0"/>
          <w:i w:val="0"/>
          <w:sz w:val="24"/>
        </w:rPr>
        <w:t>Trong đó:</w:t>
      </w:r>
    </w:p>
    <w:p>
      <w:r>
        <w:rPr>
          <w:rFonts w:ascii="Times New Roman" w:hAnsi="Times New Roman"/>
          <w:b w:val="0"/>
          <w:i w:val="0"/>
          <w:sz w:val="24"/>
        </w:rPr>
        <w:t>• Q = thống kê Q của Cochran (Cochran's Q statistic) — đo TỔNG mức độ chệch của kết quả các nghiên cứu so với kết quả gộp.</w:t>
      </w:r>
    </w:p>
    <w:p>
      <w:r>
        <w:rPr>
          <w:rFonts w:ascii="Times New Roman" w:hAnsi="Times New Roman"/>
          <w:b w:val="0"/>
          <w:i w:val="0"/>
          <w:sz w:val="24"/>
        </w:rPr>
        <w:t>• df = bậc tự do (degrees of freedom) = số lượng nghiên cứu − 1 (df = k − 1, với k là số nghiên cứu trong phân tích gộp).</w:t>
      </w:r>
    </w:p>
    <w:p>
      <w:r>
        <w:rPr>
          <w:rFonts w:ascii="Times New Roman" w:hAnsi="Times New Roman"/>
          <w:b w:val="0"/>
          <w:i w:val="0"/>
          <w:sz w:val="24"/>
        </w:rPr>
      </w:r>
    </w:p>
    <w:p>
      <w:r>
        <w:rPr>
          <w:rFonts w:ascii="Times New Roman" w:hAnsi="Times New Roman"/>
          <w:b w:val="0"/>
          <w:i w:val="0"/>
          <w:sz w:val="24"/>
        </w:rPr>
        <w:t>Diễn giải toán học: Khi Q &gt; df → có heterogeneity → I² &gt; 0. Khi Q ≤ df → I² = 0 (quy ước, vì giá trị âm không có ý nghĩa).</w:t>
      </w:r>
    </w:p>
    <w:p>
      <w:r>
        <w:rPr>
          <w:rFonts w:ascii="Times New Roman" w:hAnsi="Times New Roman"/>
          <w:b/>
          <w:color w:val="0070C0"/>
          <w:sz w:val="26"/>
        </w:rPr>
        <w:t>2.3. Ví dụ tính tay đơn giản</w:t>
      </w:r>
    </w:p>
    <w:p>
      <w:r>
        <w:rPr>
          <w:rFonts w:ascii="Times New Roman" w:hAnsi="Times New Roman"/>
          <w:b w:val="0"/>
          <w:i w:val="0"/>
          <w:sz w:val="24"/>
        </w:rPr>
        <w:t>Giả sử thực hiện phân tích gộp 10 nghiên cứu (k=10), tính được Q = 25 và df = 9.</w:t>
      </w:r>
    </w:p>
    <w:p>
      <w:r>
        <w:rPr>
          <w:rFonts w:ascii="Times New Roman" w:hAnsi="Times New Roman"/>
          <w:b w:val="0"/>
          <w:i w:val="0"/>
          <w:sz w:val="24"/>
        </w:rPr>
        <w:t>• I² = (25 − 9) / 25 × 100% = 16/25 × 100% = 64%</w:t>
      </w:r>
    </w:p>
    <w:p>
      <w:r>
        <w:rPr>
          <w:rFonts w:ascii="Times New Roman" w:hAnsi="Times New Roman"/>
          <w:b w:val="0"/>
          <w:i w:val="0"/>
          <w:sz w:val="24"/>
        </w:rPr>
        <w:t>• Diễn giải: 64% sự khác biệt giữa kết quả các nghiên cứu là do heterogeneity thực sự; 36% còn lại là do sai số ngẫu nhiên (may rủi).</w:t>
      </w:r>
    </w:p>
    <w:p>
      <w:r>
        <w:rPr>
          <w:rFonts w:ascii="Times New Roman" w:hAnsi="Times New Roman"/>
          <w:b w:val="0"/>
          <w:i w:val="0"/>
          <w:sz w:val="24"/>
        </w:rPr>
        <w:t>• Mức 64% thuộc khoảng "đáng kể" (substantial) → cần phân tích phụ để hiểu vì sao.</w:t>
      </w:r>
    </w:p>
    <w:p>
      <w:r>
        <w:rPr>
          <w:rFonts w:ascii="Times New Roman" w:hAnsi="Times New Roman"/>
          <w:b/>
          <w:color w:val="0070C0"/>
          <w:sz w:val="30"/>
        </w:rPr>
        <w:t>3. CÁCH DIỄN GIẢI I² (theo Cochrane Handbook + Higgins 2003)</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417" w:type="dxa"/>
            <w:shd w:fill="D9E2F3" w:val="clear"/>
          </w:tcPr>
          <w:p>
            <w:pPr>
              <w:jc w:val="center"/>
            </w:pPr>
            <w:r>
              <w:rPr>
                <w:rFonts w:ascii="Times New Roman" w:hAnsi="Times New Roman"/>
                <w:b/>
                <w:sz w:val="20"/>
              </w:rPr>
              <w:t>Khoảng I²</w:t>
            </w:r>
          </w:p>
        </w:tc>
        <w:tc>
          <w:tcPr>
            <w:tcW w:type="dxa" w:w="2422"/>
            <w:tcW w:w="1984" w:type="dxa"/>
            <w:shd w:fill="D9E2F3" w:val="clear"/>
          </w:tcPr>
          <w:p>
            <w:pPr>
              <w:jc w:val="center"/>
            </w:pPr>
            <w:r>
              <w:rPr>
                <w:rFonts w:ascii="Times New Roman" w:hAnsi="Times New Roman"/>
                <w:b/>
                <w:sz w:val="20"/>
              </w:rPr>
              <w:t>Mức độ heterogeneity</w:t>
            </w:r>
          </w:p>
        </w:tc>
        <w:tc>
          <w:tcPr>
            <w:tcW w:type="dxa" w:w="2422"/>
            <w:tcW w:w="2835" w:type="dxa"/>
            <w:shd w:fill="D9E2F3" w:val="clear"/>
          </w:tcPr>
          <w:p>
            <w:pPr>
              <w:jc w:val="center"/>
            </w:pPr>
            <w:r>
              <w:rPr>
                <w:rFonts w:ascii="Times New Roman" w:hAnsi="Times New Roman"/>
                <w:b/>
                <w:sz w:val="20"/>
              </w:rPr>
              <w:t>Diễn giải lâm sàng</w:t>
            </w:r>
          </w:p>
        </w:tc>
        <w:tc>
          <w:tcPr>
            <w:tcW w:type="dxa" w:w="2422"/>
            <w:tcW w:w="2835" w:type="dxa"/>
            <w:shd w:fill="D9E2F3" w:val="clear"/>
          </w:tcPr>
          <w:p>
            <w:pPr>
              <w:jc w:val="center"/>
            </w:pPr>
            <w:r>
              <w:rPr>
                <w:rFonts w:ascii="Times New Roman" w:hAnsi="Times New Roman"/>
                <w:b/>
                <w:sz w:val="20"/>
              </w:rPr>
              <w:t>Hành động cần làm</w:t>
            </w:r>
          </w:p>
        </w:tc>
      </w:tr>
      <w:tr>
        <w:tc>
          <w:tcPr>
            <w:tcW w:type="dxa" w:w="2422"/>
            <w:tcW w:w="1417" w:type="dxa"/>
          </w:tcPr>
          <w:p>
            <w:r>
              <w:rPr>
                <w:rFonts w:ascii="Times New Roman" w:hAnsi="Times New Roman"/>
                <w:sz w:val="20"/>
              </w:rPr>
              <w:t>0% – 25%</w:t>
            </w:r>
          </w:p>
        </w:tc>
        <w:tc>
          <w:tcPr>
            <w:tcW w:type="dxa" w:w="2422"/>
            <w:tcW w:w="1984" w:type="dxa"/>
          </w:tcPr>
          <w:p>
            <w:r>
              <w:rPr>
                <w:rFonts w:ascii="Times New Roman" w:hAnsi="Times New Roman"/>
                <w:sz w:val="20"/>
              </w:rPr>
              <w:t>THẤP (low)</w:t>
            </w:r>
          </w:p>
        </w:tc>
        <w:tc>
          <w:tcPr>
            <w:tcW w:type="dxa" w:w="2422"/>
            <w:tcW w:w="2835" w:type="dxa"/>
          </w:tcPr>
          <w:p>
            <w:r>
              <w:rPr>
                <w:rFonts w:ascii="Times New Roman" w:hAnsi="Times New Roman"/>
                <w:sz w:val="20"/>
              </w:rPr>
              <w:t>Các nghiên cứu khá đồng nhất; kết quả gộp đáng tin</w:t>
            </w:r>
          </w:p>
        </w:tc>
        <w:tc>
          <w:tcPr>
            <w:tcW w:type="dxa" w:w="2422"/>
            <w:tcW w:w="2835" w:type="dxa"/>
          </w:tcPr>
          <w:p>
            <w:r>
              <w:rPr>
                <w:rFonts w:ascii="Times New Roman" w:hAnsi="Times New Roman"/>
                <w:sz w:val="20"/>
              </w:rPr>
              <w:t>Có thể dùng mô hình hiệu ứng cố định (fixed-effects model) để gộp</w:t>
            </w:r>
          </w:p>
        </w:tc>
      </w:tr>
      <w:tr>
        <w:tc>
          <w:tcPr>
            <w:tcW w:type="dxa" w:w="2422"/>
            <w:tcW w:w="1417" w:type="dxa"/>
          </w:tcPr>
          <w:p>
            <w:r>
              <w:rPr>
                <w:rFonts w:ascii="Times New Roman" w:hAnsi="Times New Roman"/>
                <w:sz w:val="20"/>
              </w:rPr>
              <w:t>25% – 50%</w:t>
            </w:r>
          </w:p>
        </w:tc>
        <w:tc>
          <w:tcPr>
            <w:tcW w:type="dxa" w:w="2422"/>
            <w:tcW w:w="1984" w:type="dxa"/>
          </w:tcPr>
          <w:p>
            <w:r>
              <w:rPr>
                <w:rFonts w:ascii="Times New Roman" w:hAnsi="Times New Roman"/>
                <w:sz w:val="20"/>
              </w:rPr>
              <w:t>TRUNG BÌNH (moderate)</w:t>
            </w:r>
          </w:p>
        </w:tc>
        <w:tc>
          <w:tcPr>
            <w:tcW w:type="dxa" w:w="2422"/>
            <w:tcW w:w="2835" w:type="dxa"/>
          </w:tcPr>
          <w:p>
            <w:r>
              <w:rPr>
                <w:rFonts w:ascii="Times New Roman" w:hAnsi="Times New Roman"/>
                <w:sz w:val="20"/>
              </w:rPr>
              <w:t>Có một chút khác biệt nhưng chấp nhận được</w:t>
            </w:r>
          </w:p>
        </w:tc>
        <w:tc>
          <w:tcPr>
            <w:tcW w:type="dxa" w:w="2422"/>
            <w:tcW w:w="2835" w:type="dxa"/>
          </w:tcPr>
          <w:p>
            <w:r>
              <w:rPr>
                <w:rFonts w:ascii="Times New Roman" w:hAnsi="Times New Roman"/>
                <w:sz w:val="20"/>
              </w:rPr>
              <w:t>Có thể dùng cả 2 mô hình; nên báo cả random + fixed để so sánh</w:t>
            </w:r>
          </w:p>
        </w:tc>
      </w:tr>
      <w:tr>
        <w:tc>
          <w:tcPr>
            <w:tcW w:type="dxa" w:w="2422"/>
            <w:tcW w:w="1417" w:type="dxa"/>
          </w:tcPr>
          <w:p>
            <w:r>
              <w:rPr>
                <w:rFonts w:ascii="Times New Roman" w:hAnsi="Times New Roman"/>
                <w:sz w:val="20"/>
              </w:rPr>
              <w:t>50% – 75%</w:t>
            </w:r>
          </w:p>
        </w:tc>
        <w:tc>
          <w:tcPr>
            <w:tcW w:type="dxa" w:w="2422"/>
            <w:tcW w:w="1984" w:type="dxa"/>
          </w:tcPr>
          <w:p>
            <w:r>
              <w:rPr>
                <w:rFonts w:ascii="Times New Roman" w:hAnsi="Times New Roman"/>
                <w:sz w:val="20"/>
              </w:rPr>
              <w:t>ĐÁNG KỂ (substantial)</w:t>
            </w:r>
          </w:p>
        </w:tc>
        <w:tc>
          <w:tcPr>
            <w:tcW w:type="dxa" w:w="2422"/>
            <w:tcW w:w="2835" w:type="dxa"/>
          </w:tcPr>
          <w:p>
            <w:r>
              <w:rPr>
                <w:rFonts w:ascii="Times New Roman" w:hAnsi="Times New Roman"/>
                <w:sz w:val="20"/>
              </w:rPr>
              <w:t>Khác biệt đáng kể, cần thận trọng khi diễn giải kết quả gộp</w:t>
            </w:r>
          </w:p>
        </w:tc>
        <w:tc>
          <w:tcPr>
            <w:tcW w:type="dxa" w:w="2422"/>
            <w:tcW w:w="2835" w:type="dxa"/>
          </w:tcPr>
          <w:p>
            <w:r>
              <w:rPr>
                <w:rFonts w:ascii="Times New Roman" w:hAnsi="Times New Roman"/>
                <w:sz w:val="20"/>
              </w:rPr>
              <w:t>Bắt buộc dùng mô hình hiệu ứng ngẫu nhiên (random-effects); cân nhắc phân tích phụ (subgroup analysis)</w:t>
            </w:r>
          </w:p>
        </w:tc>
      </w:tr>
      <w:tr>
        <w:tc>
          <w:tcPr>
            <w:tcW w:type="dxa" w:w="2422"/>
            <w:tcW w:w="1417" w:type="dxa"/>
          </w:tcPr>
          <w:p>
            <w:r>
              <w:rPr>
                <w:rFonts w:ascii="Times New Roman" w:hAnsi="Times New Roman"/>
                <w:sz w:val="20"/>
              </w:rPr>
              <w:t>75% – 100%</w:t>
            </w:r>
          </w:p>
        </w:tc>
        <w:tc>
          <w:tcPr>
            <w:tcW w:type="dxa" w:w="2422"/>
            <w:tcW w:w="1984" w:type="dxa"/>
          </w:tcPr>
          <w:p>
            <w:r>
              <w:rPr>
                <w:rFonts w:ascii="Times New Roman" w:hAnsi="Times New Roman"/>
                <w:sz w:val="20"/>
              </w:rPr>
              <w:t>CAO (high) hoặc CỰC CAO (considerable)</w:t>
            </w:r>
          </w:p>
        </w:tc>
        <w:tc>
          <w:tcPr>
            <w:tcW w:type="dxa" w:w="2422"/>
            <w:tcW w:w="2835" w:type="dxa"/>
          </w:tcPr>
          <w:p>
            <w:r>
              <w:rPr>
                <w:rFonts w:ascii="Times New Roman" w:hAnsi="Times New Roman"/>
                <w:sz w:val="20"/>
              </w:rPr>
              <w:t>Khác biệt rất lớn — kết quả gộp KHÔNG đáng tin</w:t>
            </w:r>
          </w:p>
        </w:tc>
        <w:tc>
          <w:tcPr>
            <w:tcW w:type="dxa" w:w="2422"/>
            <w:tcW w:w="2835" w:type="dxa"/>
          </w:tcPr>
          <w:p>
            <w:r>
              <w:rPr>
                <w:rFonts w:ascii="Times New Roman" w:hAnsi="Times New Roman"/>
                <w:sz w:val="20"/>
              </w:rPr>
              <w:t>KHÔNG nên gộp số liệu chung; cần phân tích meta-regression hoặc mô tả định tính từng nghiên cứu</w:t>
            </w:r>
          </w:p>
        </w:tc>
      </w:tr>
    </w:tbl>
    <w:p>
      <w:r>
        <w:rPr>
          <w:rFonts w:ascii="Times New Roman" w:hAnsi="Times New Roman"/>
          <w:b w:val="0"/>
          <w:i w:val="0"/>
          <w:sz w:val="24"/>
        </w:rPr>
      </w:r>
    </w:p>
    <w:p>
      <w:r>
        <w:rPr>
          <w:rFonts w:ascii="Times New Roman" w:hAnsi="Times New Roman"/>
          <w:b/>
          <w:i w:val="0"/>
          <w:color w:val="C00000"/>
          <w:sz w:val="24"/>
        </w:rPr>
        <w:t>LƯU Ý QUAN TRỌNG:</w:t>
      </w:r>
    </w:p>
    <w:p>
      <w:r>
        <w:rPr>
          <w:rFonts w:ascii="Times New Roman" w:hAnsi="Times New Roman"/>
          <w:b w:val="0"/>
          <w:i w:val="0"/>
          <w:sz w:val="24"/>
        </w:rPr>
        <w:t>Các ngưỡng trên là KHUYẾN CÁO TƯƠNG ĐỐI, không phải tuyệt đối. Cochrane Handbook phiên bản mới nhất (2024) khuyến cáo NÊN xem I² cùng với:</w:t>
      </w:r>
    </w:p>
    <w:p>
      <w:r>
        <w:rPr>
          <w:rFonts w:ascii="Times New Roman" w:hAnsi="Times New Roman"/>
          <w:b w:val="0"/>
          <w:i w:val="0"/>
          <w:sz w:val="24"/>
        </w:rPr>
        <w:t>• Khoảng tin cậy 95% của I² (95% CI) — vì I² có thể có sai số lớn khi số nghiên cứu k nhỏ.</w:t>
      </w:r>
    </w:p>
    <w:p>
      <w:r>
        <w:rPr>
          <w:rFonts w:ascii="Times New Roman" w:hAnsi="Times New Roman"/>
          <w:b w:val="0"/>
          <w:i w:val="0"/>
          <w:sz w:val="24"/>
        </w:rPr>
        <w:t>• Giá trị p của thống kê Q (chi-square test) — nếu p &lt; 0,10 thì heterogeneity có ý nghĩa thống kê.</w:t>
      </w:r>
    </w:p>
    <w:p>
      <w:r>
        <w:rPr>
          <w:rFonts w:ascii="Times New Roman" w:hAnsi="Times New Roman"/>
          <w:b w:val="0"/>
          <w:i w:val="0"/>
          <w:sz w:val="24"/>
        </w:rPr>
        <w:t>• Tau bình phương (τ²) — đo phương sai giữa các nghiên cứu (between-study variance) — bổ sung cho I².</w:t>
      </w:r>
    </w:p>
    <w:p>
      <w:r>
        <w:rPr>
          <w:rFonts w:ascii="Times New Roman" w:hAnsi="Times New Roman"/>
          <w:b w:val="0"/>
          <w:i w:val="0"/>
          <w:sz w:val="24"/>
        </w:rPr>
        <w:t>• Forest plot — biểu đồ rừng — quan sát trực quan các điểm + khoảng tin cậy có chồng chéo nhau hay không.</w:t>
      </w:r>
    </w:p>
    <w:p>
      <w:r>
        <w:rPr>
          <w:rFonts w:ascii="Times New Roman" w:hAnsi="Times New Roman"/>
          <w:b/>
          <w:color w:val="0070C0"/>
          <w:sz w:val="30"/>
        </w:rPr>
        <w:t>4. VÍ DỤ MINH HOẠ TỪ KHO TÀI LIỆU DỰ ÁN</w:t>
      </w:r>
    </w:p>
    <w:p>
      <w:r>
        <w:rPr>
          <w:rFonts w:ascii="Times New Roman" w:hAnsi="Times New Roman"/>
          <w:b/>
          <w:color w:val="0070C0"/>
          <w:sz w:val="26"/>
        </w:rPr>
        <w:t>4.1. Caldwell và cộng sự 2019 (Lancet Psychiatry — phân tích mạng meta)</w:t>
      </w:r>
    </w:p>
    <w:p>
      <w:r>
        <w:rPr>
          <w:rFonts w:ascii="Times New Roman" w:hAnsi="Times New Roman"/>
          <w:b w:val="0"/>
          <w:i w:val="0"/>
          <w:sz w:val="24"/>
        </w:rPr>
        <w:t>Bài này đã có trong kho dự án (đã trích trong các doc dịch + phản biện 3 bài Brown).</w:t>
      </w:r>
    </w:p>
    <w:p>
      <w:r>
        <w:rPr>
          <w:rFonts w:ascii="Times New Roman" w:hAnsi="Times New Roman"/>
          <w:b w:val="0"/>
          <w:i w:val="0"/>
          <w:sz w:val="24"/>
        </w:rPr>
        <w:t>• Loại nghiên cứu: phân tích gộp mạng (network meta-analysis — NMA) các thử nghiệm có đối chứng về can thiệp SKTT trường học.</w:t>
      </w:r>
    </w:p>
    <w:p>
      <w:r>
        <w:rPr>
          <w:rFonts w:ascii="Times New Roman" w:hAnsi="Times New Roman"/>
          <w:b w:val="0"/>
          <w:i w:val="0"/>
          <w:sz w:val="24"/>
        </w:rPr>
        <w:t>• Số nghiên cứu: 137 (k=137)</w:t>
      </w:r>
    </w:p>
    <w:p>
      <w:r>
        <w:rPr>
          <w:rFonts w:ascii="Times New Roman" w:hAnsi="Times New Roman"/>
          <w:b w:val="0"/>
          <w:i w:val="0"/>
          <w:sz w:val="24"/>
        </w:rPr>
        <w:t>• I² báo cáo: dao động 30% – 45% xuyên các so sánh — mức TRUNG BÌNH</w:t>
      </w:r>
    </w:p>
    <w:p>
      <w:r>
        <w:rPr>
          <w:rFonts w:ascii="Times New Roman" w:hAnsi="Times New Roman"/>
          <w:b w:val="0"/>
          <w:i w:val="0"/>
          <w:sz w:val="24"/>
        </w:rPr>
        <w:t>• Diễn giải: Có khác biệt thực sự giữa các nghiên cứu nhưng ở mức chấp nhận; kết quả gộp tương đối đáng tin.</w:t>
      </w:r>
    </w:p>
    <w:p>
      <w:r>
        <w:rPr>
          <w:rFonts w:ascii="Times New Roman" w:hAnsi="Times New Roman"/>
          <w:b w:val="0"/>
          <w:i w:val="0"/>
          <w:sz w:val="24"/>
        </w:rPr>
        <w:t>• Hành động của tác giả: Dùng mô hình hiệu ứng ngẫu nhiên + báo cáo cả các phân tích phụ theo loại can thiệp.</w:t>
      </w:r>
    </w:p>
    <w:p>
      <w:r>
        <w:rPr>
          <w:rFonts w:ascii="Times New Roman" w:hAnsi="Times New Roman"/>
          <w:b/>
          <w:color w:val="0070C0"/>
          <w:sz w:val="26"/>
        </w:rPr>
        <w:t>4.2. Zhang và cộng sự 2023 (J Youth Adolescence — phân tích gộp 65 thử nghiệm)</w:t>
      </w:r>
    </w:p>
    <w:p>
      <w:r>
        <w:rPr>
          <w:rFonts w:ascii="Times New Roman" w:hAnsi="Times New Roman"/>
          <w:b w:val="0"/>
          <w:i w:val="0"/>
          <w:sz w:val="24"/>
        </w:rPr>
        <w:t>Đã có trong kho dự án qua các tham chiếu trong 3 doc Brown.</w:t>
      </w:r>
    </w:p>
    <w:p>
      <w:r>
        <w:rPr>
          <w:rFonts w:ascii="Times New Roman" w:hAnsi="Times New Roman"/>
          <w:b w:val="0"/>
          <w:i w:val="0"/>
          <w:sz w:val="24"/>
        </w:rPr>
        <w:t>• Phân tích gộp 65 thử nghiệm có đối chứng về can thiệp SKTT trường học</w:t>
      </w:r>
    </w:p>
    <w:p>
      <w:r>
        <w:rPr>
          <w:rFonts w:ascii="Times New Roman" w:hAnsi="Times New Roman"/>
          <w:b w:val="0"/>
          <w:i w:val="0"/>
          <w:sz w:val="24"/>
        </w:rPr>
        <w:t>• I² báo cáo: ~50–70% cho hầu hết outcomes — mức ĐÁNG KỂ</w:t>
      </w:r>
    </w:p>
    <w:p>
      <w:r>
        <w:rPr>
          <w:rFonts w:ascii="Times New Roman" w:hAnsi="Times New Roman"/>
          <w:b w:val="0"/>
          <w:i w:val="0"/>
          <w:sz w:val="24"/>
        </w:rPr>
        <w:t>• Hành động: Phân tích phụ theo loại can thiệp (CBT vs khác), do người cung cấp (nhà lâm sàng vs giáo viên), bậc học (THCS vs THPT) → giải thích được phần lớn heterogeneity.</w:t>
      </w:r>
    </w:p>
    <w:p>
      <w:r>
        <w:rPr>
          <w:rFonts w:ascii="Times New Roman" w:hAnsi="Times New Roman"/>
          <w:b/>
          <w:color w:val="0070C0"/>
          <w:sz w:val="26"/>
        </w:rPr>
        <w:t>4.3. Phân tích gộp Frontiers Psychiatry 2025 (38 thử nghiệm về resilience)</w:t>
      </w:r>
    </w:p>
    <w:p>
      <w:r>
        <w:rPr>
          <w:rFonts w:ascii="Times New Roman" w:hAnsi="Times New Roman"/>
          <w:b w:val="0"/>
          <w:i w:val="0"/>
          <w:sz w:val="24"/>
        </w:rPr>
        <w:t>Trong doc TuLieu V3 đã có.</w:t>
      </w:r>
    </w:p>
    <w:p>
      <w:r>
        <w:rPr>
          <w:rFonts w:ascii="Times New Roman" w:hAnsi="Times New Roman"/>
          <w:b w:val="0"/>
          <w:i w:val="0"/>
          <w:sz w:val="24"/>
        </w:rPr>
        <w:t>• 38 thử nghiệm có đối chứng / 15.730 học sinh</w:t>
      </w:r>
    </w:p>
    <w:p>
      <w:r>
        <w:rPr>
          <w:rFonts w:ascii="Times New Roman" w:hAnsi="Times New Roman"/>
          <w:b w:val="0"/>
          <w:i w:val="0"/>
          <w:sz w:val="24"/>
        </w:rPr>
        <w:t>• I² CAO (&gt;75%) cho nhiều outcomes — heterogeneity quá lớn</w:t>
      </w:r>
    </w:p>
    <w:p>
      <w:r>
        <w:rPr>
          <w:rFonts w:ascii="Times New Roman" w:hAnsi="Times New Roman"/>
          <w:b w:val="0"/>
          <w:i w:val="0"/>
          <w:sz w:val="24"/>
        </w:rPr>
        <w:t>• Tác giả thừa nhận khó kết luận chung; phải tách thành các nhóm con (chánh niệm, CBT, học tập cảm xúc xã hội) để phân tích riêng.</w:t>
      </w:r>
    </w:p>
    <w:p>
      <w:r>
        <w:rPr>
          <w:rFonts w:ascii="Times New Roman" w:hAnsi="Times New Roman"/>
          <w:b/>
          <w:color w:val="0070C0"/>
          <w:sz w:val="30"/>
        </w:rPr>
        <w:t>5. KHI NÀO CẦN QUAN TÂM ĐẾN I²?</w:t>
      </w:r>
    </w:p>
    <w:p>
      <w:r>
        <w:rPr>
          <w:rFonts w:ascii="Times New Roman" w:hAnsi="Times New Roman"/>
          <w:b w:val="0"/>
          <w:i w:val="0"/>
          <w:sz w:val="24"/>
        </w:rPr>
        <w:t>Thầy CẦN xem I² khi đọc:</w:t>
      </w:r>
    </w:p>
    <w:p>
      <w:r>
        <w:rPr>
          <w:rFonts w:ascii="Times New Roman" w:hAnsi="Times New Roman"/>
          <w:b w:val="0"/>
          <w:i w:val="0"/>
          <w:sz w:val="24"/>
        </w:rPr>
        <w:t>• Phân tích gộp (meta-analysis)</w:t>
      </w:r>
    </w:p>
    <w:p>
      <w:r>
        <w:rPr>
          <w:rFonts w:ascii="Times New Roman" w:hAnsi="Times New Roman"/>
          <w:b w:val="0"/>
          <w:i w:val="0"/>
          <w:sz w:val="24"/>
        </w:rPr>
        <w:t>• Tổng quan hệ thống có gộp số liệu định lượng (systematic review with quantitative synthesis)</w:t>
      </w:r>
    </w:p>
    <w:p>
      <w:r>
        <w:rPr>
          <w:rFonts w:ascii="Times New Roman" w:hAnsi="Times New Roman"/>
          <w:b w:val="0"/>
          <w:i w:val="0"/>
          <w:sz w:val="24"/>
        </w:rPr>
        <w:t>• Phân tích gộp mạng (network meta-analysis — NMA)</w:t>
      </w:r>
    </w:p>
    <w:p>
      <w:r>
        <w:rPr>
          <w:rFonts w:ascii="Times New Roman" w:hAnsi="Times New Roman"/>
          <w:b w:val="0"/>
          <w:i w:val="0"/>
          <w:sz w:val="24"/>
        </w:rPr>
        <w:t>• Phân tích cumulative meta-analysis hoặc trial sequential analysis</w:t>
      </w:r>
    </w:p>
    <w:p>
      <w:r>
        <w:rPr>
          <w:rFonts w:ascii="Times New Roman" w:hAnsi="Times New Roman"/>
          <w:b w:val="0"/>
          <w:i w:val="0"/>
          <w:sz w:val="24"/>
        </w:rPr>
      </w:r>
    </w:p>
    <w:p>
      <w:r>
        <w:rPr>
          <w:rFonts w:ascii="Times New Roman" w:hAnsi="Times New Roman"/>
          <w:b w:val="0"/>
          <w:i w:val="0"/>
          <w:sz w:val="24"/>
        </w:rPr>
        <w:t>Thầy KHÔNG cần xem I² khi đọc:</w:t>
      </w:r>
    </w:p>
    <w:p>
      <w:r>
        <w:rPr>
          <w:rFonts w:ascii="Times New Roman" w:hAnsi="Times New Roman"/>
          <w:b w:val="0"/>
          <w:i w:val="0"/>
          <w:sz w:val="24"/>
        </w:rPr>
        <w:t>• Một thử nghiệm đơn lẻ (RCT) — không có heterogeneity giữa các nghiên cứu</w:t>
      </w:r>
    </w:p>
    <w:p>
      <w:r>
        <w:rPr>
          <w:rFonts w:ascii="Times New Roman" w:hAnsi="Times New Roman"/>
          <w:b w:val="0"/>
          <w:i w:val="0"/>
          <w:sz w:val="24"/>
        </w:rPr>
        <w:t>• Tổng quan hệ thống chỉ mô tả định tính (qualitative synthesis)</w:t>
      </w:r>
    </w:p>
    <w:p>
      <w:r>
        <w:rPr>
          <w:rFonts w:ascii="Times New Roman" w:hAnsi="Times New Roman"/>
          <w:b w:val="0"/>
          <w:i w:val="0"/>
          <w:sz w:val="24"/>
        </w:rPr>
        <w:t>• Tổng quan phạm vi (scoping review)</w:t>
      </w:r>
    </w:p>
    <w:p>
      <w:r>
        <w:rPr>
          <w:rFonts w:ascii="Times New Roman" w:hAnsi="Times New Roman"/>
          <w:b w:val="0"/>
          <w:i w:val="0"/>
          <w:sz w:val="24"/>
        </w:rPr>
        <w:t>• Nghiên cứu cắt ngang đơn lẻ</w:t>
      </w:r>
    </w:p>
    <w:p>
      <w:r>
        <w:rPr>
          <w:rFonts w:ascii="Times New Roman" w:hAnsi="Times New Roman"/>
          <w:b/>
          <w:color w:val="0070C0"/>
          <w:sz w:val="30"/>
        </w:rPr>
        <w:t>6. SO SÁNH MÔ HÌNH HIỆU ỨNG CỐ ĐỊNH (FIXED) vs NGẪU NHIÊN (RANDOM)</w:t>
      </w:r>
    </w:p>
    <w:p>
      <w:r>
        <w:rPr>
          <w:rFonts w:ascii="Times New Roman" w:hAnsi="Times New Roman"/>
          <w:b w:val="0"/>
          <w:i w:val="0"/>
          <w:sz w:val="24"/>
        </w:rPr>
        <w:t>Khi I² cao, tác giả buộc phải chọn mô hình thống kê phù hợp:</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268" w:type="dxa"/>
            <w:shd w:fill="D9E2F3" w:val="clear"/>
          </w:tcPr>
          <w:p>
            <w:pPr>
              <w:jc w:val="center"/>
            </w:pPr>
            <w:r>
              <w:rPr>
                <w:rFonts w:ascii="Times New Roman" w:hAnsi="Times New Roman"/>
                <w:b/>
                <w:sz w:val="20"/>
              </w:rPr>
              <w:t>Đặc điểm</w:t>
            </w:r>
          </w:p>
        </w:tc>
        <w:tc>
          <w:tcPr>
            <w:tcW w:type="dxa" w:w="3230"/>
            <w:tcW w:w="3402" w:type="dxa"/>
            <w:shd w:fill="D9E2F3" w:val="clear"/>
          </w:tcPr>
          <w:p>
            <w:pPr>
              <w:jc w:val="center"/>
            </w:pPr>
            <w:r>
              <w:rPr>
                <w:rFonts w:ascii="Times New Roman" w:hAnsi="Times New Roman"/>
                <w:b/>
                <w:sz w:val="20"/>
              </w:rPr>
              <w:t>Mô hình hiệu ứng cố định (Fixed-effects)</w:t>
            </w:r>
          </w:p>
        </w:tc>
        <w:tc>
          <w:tcPr>
            <w:tcW w:type="dxa" w:w="3230"/>
            <w:tcW w:w="3402" w:type="dxa"/>
            <w:shd w:fill="D9E2F3" w:val="clear"/>
          </w:tcPr>
          <w:p>
            <w:pPr>
              <w:jc w:val="center"/>
            </w:pPr>
            <w:r>
              <w:rPr>
                <w:rFonts w:ascii="Times New Roman" w:hAnsi="Times New Roman"/>
                <w:b/>
                <w:sz w:val="20"/>
              </w:rPr>
              <w:t>Mô hình hiệu ứng ngẫu nhiên (Random-effects)</w:t>
            </w:r>
          </w:p>
        </w:tc>
      </w:tr>
      <w:tr>
        <w:tc>
          <w:tcPr>
            <w:tcW w:type="dxa" w:w="3230"/>
            <w:tcW w:w="2268" w:type="dxa"/>
          </w:tcPr>
          <w:p>
            <w:r>
              <w:rPr>
                <w:rFonts w:ascii="Times New Roman" w:hAnsi="Times New Roman"/>
                <w:sz w:val="20"/>
              </w:rPr>
              <w:t>Giả định nền</w:t>
            </w:r>
          </w:p>
        </w:tc>
        <w:tc>
          <w:tcPr>
            <w:tcW w:type="dxa" w:w="3230"/>
            <w:tcW w:w="3402" w:type="dxa"/>
          </w:tcPr>
          <w:p>
            <w:r>
              <w:rPr>
                <w:rFonts w:ascii="Times New Roman" w:hAnsi="Times New Roman"/>
                <w:sz w:val="20"/>
              </w:rPr>
              <w:t>Có MỘT giá trị hiệu ứng thật chung; các nghiên cứu chỉ khác nhau do random error</w:t>
            </w:r>
          </w:p>
        </w:tc>
        <w:tc>
          <w:tcPr>
            <w:tcW w:type="dxa" w:w="3230"/>
            <w:tcW w:w="3402" w:type="dxa"/>
          </w:tcPr>
          <w:p>
            <w:r>
              <w:rPr>
                <w:rFonts w:ascii="Times New Roman" w:hAnsi="Times New Roman"/>
                <w:sz w:val="20"/>
              </w:rPr>
              <w:t>Mỗi nghiên cứu có hiệu ứng thật RIÊNG — đến từ một phân phối chung</w:t>
            </w:r>
          </w:p>
        </w:tc>
      </w:tr>
      <w:tr>
        <w:tc>
          <w:tcPr>
            <w:tcW w:type="dxa" w:w="3230"/>
            <w:tcW w:w="2268" w:type="dxa"/>
          </w:tcPr>
          <w:p>
            <w:r>
              <w:rPr>
                <w:rFonts w:ascii="Times New Roman" w:hAnsi="Times New Roman"/>
                <w:sz w:val="20"/>
              </w:rPr>
              <w:t>Khi nào nên dùng</w:t>
            </w:r>
          </w:p>
        </w:tc>
        <w:tc>
          <w:tcPr>
            <w:tcW w:type="dxa" w:w="3230"/>
            <w:tcW w:w="3402" w:type="dxa"/>
          </w:tcPr>
          <w:p>
            <w:r>
              <w:rPr>
                <w:rFonts w:ascii="Times New Roman" w:hAnsi="Times New Roman"/>
                <w:sz w:val="20"/>
              </w:rPr>
              <w:t>Heterogeneity THẤP (I² ≤ 25%); các nghiên cứu rất tương đồng</w:t>
            </w:r>
          </w:p>
        </w:tc>
        <w:tc>
          <w:tcPr>
            <w:tcW w:type="dxa" w:w="3230"/>
            <w:tcW w:w="3402" w:type="dxa"/>
          </w:tcPr>
          <w:p>
            <w:r>
              <w:rPr>
                <w:rFonts w:ascii="Times New Roman" w:hAnsi="Times New Roman"/>
                <w:sz w:val="20"/>
              </w:rPr>
              <w:t>Heterogeneity TRUNG BÌNH trở lên (I² &gt; 25%)</w:t>
            </w:r>
          </w:p>
        </w:tc>
      </w:tr>
      <w:tr>
        <w:tc>
          <w:tcPr>
            <w:tcW w:type="dxa" w:w="3230"/>
            <w:tcW w:w="2268" w:type="dxa"/>
          </w:tcPr>
          <w:p>
            <w:r>
              <w:rPr>
                <w:rFonts w:ascii="Times New Roman" w:hAnsi="Times New Roman"/>
                <w:sz w:val="20"/>
              </w:rPr>
              <w:t>Trọng số (weighting)</w:t>
            </w:r>
          </w:p>
        </w:tc>
        <w:tc>
          <w:tcPr>
            <w:tcW w:type="dxa" w:w="3230"/>
            <w:tcW w:w="3402" w:type="dxa"/>
          </w:tcPr>
          <w:p>
            <w:r>
              <w:rPr>
                <w:rFonts w:ascii="Times New Roman" w:hAnsi="Times New Roman"/>
                <w:sz w:val="20"/>
              </w:rPr>
              <w:t>Theo nghịch đảo phương sai (1/variance) — nghiên cứu nhỏ trọng số nhỏ</w:t>
            </w:r>
          </w:p>
        </w:tc>
        <w:tc>
          <w:tcPr>
            <w:tcW w:type="dxa" w:w="3230"/>
            <w:tcW w:w="3402" w:type="dxa"/>
          </w:tcPr>
          <w:p>
            <w:r>
              <w:rPr>
                <w:rFonts w:ascii="Times New Roman" w:hAnsi="Times New Roman"/>
                <w:sz w:val="20"/>
              </w:rPr>
              <w:t>Theo nghịch đảo (variance + tau²) — nghiên cứu nhỏ có trọng số tương đối lớn hơn so với fixed</w:t>
            </w:r>
          </w:p>
        </w:tc>
      </w:tr>
      <w:tr>
        <w:tc>
          <w:tcPr>
            <w:tcW w:type="dxa" w:w="3230"/>
            <w:tcW w:w="2268" w:type="dxa"/>
          </w:tcPr>
          <w:p>
            <w:r>
              <w:rPr>
                <w:rFonts w:ascii="Times New Roman" w:hAnsi="Times New Roman"/>
                <w:sz w:val="20"/>
              </w:rPr>
              <w:t>Khoảng tin cậy 95%</w:t>
            </w:r>
          </w:p>
        </w:tc>
        <w:tc>
          <w:tcPr>
            <w:tcW w:type="dxa" w:w="3230"/>
            <w:tcW w:w="3402" w:type="dxa"/>
          </w:tcPr>
          <w:p>
            <w:r>
              <w:rPr>
                <w:rFonts w:ascii="Times New Roman" w:hAnsi="Times New Roman"/>
                <w:sz w:val="20"/>
              </w:rPr>
              <w:t>Hẹp hơn — chỉ phản ánh độ chính xác mẫu</w:t>
            </w:r>
          </w:p>
        </w:tc>
        <w:tc>
          <w:tcPr>
            <w:tcW w:type="dxa" w:w="3230"/>
            <w:tcW w:w="3402" w:type="dxa"/>
          </w:tcPr>
          <w:p>
            <w:r>
              <w:rPr>
                <w:rFonts w:ascii="Times New Roman" w:hAnsi="Times New Roman"/>
                <w:sz w:val="20"/>
              </w:rPr>
              <w:t>Rộng hơn — phản ánh cả độ chính xác mẫu lẫn variability giữa các nghiên cứu</w:t>
            </w:r>
          </w:p>
        </w:tc>
      </w:tr>
      <w:tr>
        <w:tc>
          <w:tcPr>
            <w:tcW w:type="dxa" w:w="3230"/>
            <w:tcW w:w="2268" w:type="dxa"/>
          </w:tcPr>
          <w:p>
            <w:r>
              <w:rPr>
                <w:rFonts w:ascii="Times New Roman" w:hAnsi="Times New Roman"/>
                <w:sz w:val="20"/>
              </w:rPr>
              <w:t>Diễn giải kết luận</w:t>
            </w:r>
          </w:p>
        </w:tc>
        <w:tc>
          <w:tcPr>
            <w:tcW w:type="dxa" w:w="3230"/>
            <w:tcW w:w="3402" w:type="dxa"/>
          </w:tcPr>
          <w:p>
            <w:r>
              <w:rPr>
                <w:rFonts w:ascii="Times New Roman" w:hAnsi="Times New Roman"/>
                <w:sz w:val="20"/>
              </w:rPr>
              <w:t>"Hiệu ứng thật là X cho QUẦN THỂ NÀY"</w:t>
            </w:r>
          </w:p>
        </w:tc>
        <w:tc>
          <w:tcPr>
            <w:tcW w:type="dxa" w:w="3230"/>
            <w:tcW w:w="3402" w:type="dxa"/>
          </w:tcPr>
          <w:p>
            <w:r>
              <w:rPr>
                <w:rFonts w:ascii="Times New Roman" w:hAnsi="Times New Roman"/>
                <w:sz w:val="20"/>
              </w:rPr>
              <w:t>"Hiệu ứng thật trung bình là X qua các quần thể; có thể dao động trong khoảng nào đó"</w:t>
            </w:r>
          </w:p>
        </w:tc>
      </w:tr>
      <w:tr>
        <w:tc>
          <w:tcPr>
            <w:tcW w:type="dxa" w:w="3230"/>
            <w:tcW w:w="2268" w:type="dxa"/>
          </w:tcPr>
          <w:p>
            <w:r>
              <w:rPr>
                <w:rFonts w:ascii="Times New Roman" w:hAnsi="Times New Roman"/>
                <w:sz w:val="20"/>
              </w:rPr>
              <w:t>Phù hợp với SKTT trẻ em</w:t>
            </w:r>
          </w:p>
        </w:tc>
        <w:tc>
          <w:tcPr>
            <w:tcW w:type="dxa" w:w="3230"/>
            <w:tcW w:w="3402" w:type="dxa"/>
          </w:tcPr>
          <w:p>
            <w:r>
              <w:rPr>
                <w:rFonts w:ascii="Times New Roman" w:hAnsi="Times New Roman"/>
                <w:sz w:val="20"/>
              </w:rPr>
              <w:t>Hiếm khi phù hợp</w:t>
            </w:r>
          </w:p>
        </w:tc>
        <w:tc>
          <w:tcPr>
            <w:tcW w:type="dxa" w:w="3230"/>
            <w:tcW w:w="3402" w:type="dxa"/>
          </w:tcPr>
          <w:p>
            <w:r>
              <w:rPr>
                <w:rFonts w:ascii="Times New Roman" w:hAnsi="Times New Roman"/>
                <w:sz w:val="20"/>
              </w:rPr>
              <w:t>GẦN NHƯ luôn phù hợp — vì các nghiên cứu khác nhau về văn hoá, độ tuổi, thiết kế</w:t>
            </w:r>
          </w:p>
        </w:tc>
      </w:tr>
    </w:tbl>
    <w:p>
      <w:r>
        <w:rPr>
          <w:rFonts w:ascii="Times New Roman" w:hAnsi="Times New Roman"/>
          <w:b w:val="0"/>
          <w:i w:val="0"/>
          <w:sz w:val="24"/>
        </w:rPr>
      </w:r>
    </w:p>
    <w:p>
      <w:r>
        <w:rPr>
          <w:rFonts w:ascii="Times New Roman" w:hAnsi="Times New Roman"/>
          <w:b/>
          <w:i w:val="0"/>
          <w:sz w:val="24"/>
        </w:rPr>
        <w:t>KHUYẾN NGHỊ THỰC TIỄN: trong lĩnh vực sức khỏe tâm thần trẻ em + vị thành niên, GẦN NHƯ LUÔN phải dùng MÔ HÌNH HIỆU ỨNG NGẪU NHIÊN — vì các nghiên cứu thường không đồng nhất do bối cảnh văn hoá, lứa tuổi, thiết kế can thiệp khác nhau.</w:t>
      </w:r>
    </w:p>
    <w:p>
      <w:r>
        <w:rPr>
          <w:rFonts w:ascii="Times New Roman" w:hAnsi="Times New Roman"/>
          <w:b/>
          <w:color w:val="0070C0"/>
          <w:sz w:val="30"/>
        </w:rPr>
        <w:t>7. NHỮNG SAI LẦM PHỔ BIẾN KHI ĐỌC I²</w:t>
      </w:r>
    </w:p>
    <w:p>
      <w:r>
        <w:rPr>
          <w:rFonts w:ascii="Times New Roman" w:hAnsi="Times New Roman"/>
          <w:b/>
          <w:color w:val="0070C0"/>
          <w:sz w:val="24"/>
        </w:rPr>
        <w:t>Sai lầm 1: Coi I² thấp là "chứng cứ chắc chắn"</w:t>
      </w:r>
    </w:p>
    <w:p>
      <w:r>
        <w:rPr>
          <w:rFonts w:ascii="Times New Roman" w:hAnsi="Times New Roman"/>
          <w:b w:val="0"/>
          <w:i w:val="0"/>
          <w:sz w:val="24"/>
        </w:rPr>
        <w:t>Khi I² thấp (vd. 10%), KHÔNG có nghĩa kết quả gộp "đúng". Có thể do:</w:t>
      </w:r>
    </w:p>
    <w:p>
      <w:r>
        <w:rPr>
          <w:rFonts w:ascii="Times New Roman" w:hAnsi="Times New Roman"/>
          <w:b w:val="0"/>
          <w:i w:val="0"/>
          <w:sz w:val="24"/>
        </w:rPr>
        <w:t>• Số nghiên cứu k nhỏ → power thấp để phát hiện heterogeneity → I² ước tính sai</w:t>
      </w:r>
    </w:p>
    <w:p>
      <w:r>
        <w:rPr>
          <w:rFonts w:ascii="Times New Roman" w:hAnsi="Times New Roman"/>
          <w:b w:val="0"/>
          <w:i w:val="0"/>
          <w:sz w:val="24"/>
        </w:rPr>
        <w:t>• Các nghiên cứu cùng thiết kế nhưng cùng có một sai lệch hệ thống (publication bias)</w:t>
      </w:r>
    </w:p>
    <w:p>
      <w:r>
        <w:rPr>
          <w:rFonts w:ascii="Times New Roman" w:hAnsi="Times New Roman"/>
          <w:b w:val="0"/>
          <w:i w:val="0"/>
          <w:sz w:val="24"/>
        </w:rPr>
        <w:t>• Tất cả đều ở một bối cảnh hẹp (vd. chỉ Mỹ) → không generalisable</w:t>
      </w:r>
    </w:p>
    <w:p>
      <w:r>
        <w:rPr>
          <w:rFonts w:ascii="Times New Roman" w:hAnsi="Times New Roman"/>
          <w:b/>
          <w:color w:val="0070C0"/>
          <w:sz w:val="24"/>
        </w:rPr>
        <w:t>Sai lầm 2: Coi I² cao là "chứng cứ rác"</w:t>
      </w:r>
    </w:p>
    <w:p>
      <w:r>
        <w:rPr>
          <w:rFonts w:ascii="Times New Roman" w:hAnsi="Times New Roman"/>
          <w:b w:val="0"/>
          <w:i w:val="0"/>
          <w:sz w:val="24"/>
        </w:rPr>
        <w:t>I² cao KHÔNG có nghĩa nghiên cứu rác. Có thể do:</w:t>
      </w:r>
    </w:p>
    <w:p>
      <w:r>
        <w:rPr>
          <w:rFonts w:ascii="Times New Roman" w:hAnsi="Times New Roman"/>
          <w:b w:val="0"/>
          <w:i w:val="0"/>
          <w:sz w:val="24"/>
        </w:rPr>
        <w:t>• Các nghiên cứu thực sự đo các nhóm khác nhau (lứa tuổi, văn hoá, mức độ nặng)</w:t>
      </w:r>
    </w:p>
    <w:p>
      <w:r>
        <w:rPr>
          <w:rFonts w:ascii="Times New Roman" w:hAnsi="Times New Roman"/>
          <w:b w:val="0"/>
          <w:i w:val="0"/>
          <w:sz w:val="24"/>
        </w:rPr>
        <w:t>• Có sự đa dạng lớn về can thiệp được đo (vd. CBT vs ACT vs MBSR)</w:t>
      </w:r>
    </w:p>
    <w:p>
      <w:r>
        <w:rPr>
          <w:rFonts w:ascii="Times New Roman" w:hAnsi="Times New Roman"/>
          <w:b w:val="0"/>
          <w:i w:val="0"/>
          <w:sz w:val="24"/>
        </w:rPr>
        <w:t>• Cần phân tích phụ (subgroup) để hiểu chi tiết, không phải bỏ luôn</w:t>
      </w:r>
    </w:p>
    <w:p>
      <w:r>
        <w:rPr>
          <w:rFonts w:ascii="Times New Roman" w:hAnsi="Times New Roman"/>
          <w:b/>
          <w:color w:val="0070C0"/>
          <w:sz w:val="24"/>
        </w:rPr>
        <w:t>Sai lầm 3: Lẫn lộn I² với Q hoặc tau²</w:t>
      </w:r>
    </w:p>
    <w:p>
      <w:r>
        <w:rPr>
          <w:rFonts w:ascii="Times New Roman" w:hAnsi="Times New Roman"/>
          <w:b w:val="0"/>
          <w:i w:val="0"/>
          <w:sz w:val="24"/>
        </w:rPr>
        <w:t>• Q (Cochran's Q): chỉ đo CÓ hay KHÔNG có heterogeneity (yes/no)</w:t>
      </w:r>
    </w:p>
    <w:p>
      <w:r>
        <w:rPr>
          <w:rFonts w:ascii="Times New Roman" w:hAnsi="Times New Roman"/>
          <w:b w:val="0"/>
          <w:i w:val="0"/>
          <w:sz w:val="24"/>
        </w:rPr>
        <w:t>• I²: đo PHẦN TRĂM phương sai do heterogeneity (0–100%)</w:t>
      </w:r>
    </w:p>
    <w:p>
      <w:r>
        <w:rPr>
          <w:rFonts w:ascii="Times New Roman" w:hAnsi="Times New Roman"/>
          <w:b w:val="0"/>
          <w:i w:val="0"/>
          <w:sz w:val="24"/>
        </w:rPr>
        <w:t>• τ² (tau squared): đo MAGNITUDE TUYỆT ĐỐI của heterogeneity (đơn vị giống effect size)</w:t>
      </w:r>
    </w:p>
    <w:p>
      <w:r>
        <w:rPr>
          <w:rFonts w:ascii="Times New Roman" w:hAnsi="Times New Roman"/>
          <w:b w:val="0"/>
          <w:i w:val="0"/>
          <w:sz w:val="24"/>
        </w:rPr>
        <w:t>3 chỉ số bổ sung cho nhau, không thay thế nhau.</w:t>
      </w:r>
    </w:p>
    <w:p>
      <w:r>
        <w:rPr>
          <w:rFonts w:ascii="Times New Roman" w:hAnsi="Times New Roman"/>
          <w:b/>
          <w:color w:val="0070C0"/>
          <w:sz w:val="24"/>
        </w:rPr>
        <w:t>Sai lầm 4: Áp dụng ngưỡng 25/50/75% như tuyệt đối</w:t>
      </w:r>
    </w:p>
    <w:p>
      <w:r>
        <w:rPr>
          <w:rFonts w:ascii="Times New Roman" w:hAnsi="Times New Roman"/>
          <w:b w:val="0"/>
          <w:i w:val="0"/>
          <w:sz w:val="24"/>
        </w:rPr>
        <w:t>Higgins và Thompson 2003 đã NÓI RÕ trong bài: "these thresholds are rough guides only". Cần xét trong bối cảnh từng lĩnh vực — vd. dược lý có ngưỡng khác tâm lý học.</w:t>
      </w:r>
    </w:p>
    <w:p>
      <w:r>
        <w:rPr>
          <w:rFonts w:ascii="Times New Roman" w:hAnsi="Times New Roman"/>
          <w:b/>
          <w:color w:val="0070C0"/>
          <w:sz w:val="30"/>
        </w:rPr>
        <w:t>8. ÁP DỤNG CHO VIỆT NAM</w:t>
      </w:r>
    </w:p>
    <w:p>
      <w:r>
        <w:rPr>
          <w:rFonts w:ascii="Times New Roman" w:hAnsi="Times New Roman"/>
          <w:b w:val="0"/>
          <w:i w:val="0"/>
          <w:sz w:val="24"/>
        </w:rPr>
        <w:t>Khi đọc các phân tích gộp về SKTT trẻ em / vị thành niên Việt Nam (hiếm — vì VN chưa có nhiều phân tích gộp nội địa), thầy nên CHÚ Ý:</w:t>
      </w:r>
    </w:p>
    <w:p>
      <w:r>
        <w:rPr>
          <w:rFonts w:ascii="Times New Roman" w:hAnsi="Times New Roman"/>
          <w:b w:val="0"/>
          <w:i w:val="0"/>
          <w:sz w:val="24"/>
        </w:rPr>
        <w:t>(1) Nếu phân tích gộp toàn các nghiên cứu QUỐC TẾ rồi áp dụng cho VN — I² thường cao do văn hoá khác biệt → cần phân tích phụ riêng cho khu vực châu Á / Đông Nam Á.</w:t>
      </w:r>
    </w:p>
    <w:p>
      <w:r>
        <w:rPr>
          <w:rFonts w:ascii="Times New Roman" w:hAnsi="Times New Roman"/>
          <w:b w:val="0"/>
          <w:i w:val="0"/>
          <w:sz w:val="24"/>
        </w:rPr>
        <w:t>(2) Phân tích gộp riêng các nghiên cứu VN (ví dụ tổng hợp DASS-21 + GAD-7 ở các tỉnh khác nhau) — I² có thể cao do khác biệt vùng miền, thiết kế công cụ, độ tuổi.</w:t>
      </w:r>
    </w:p>
    <w:p>
      <w:r>
        <w:rPr>
          <w:rFonts w:ascii="Times New Roman" w:hAnsi="Times New Roman"/>
          <w:b w:val="0"/>
          <w:i w:val="0"/>
          <w:sz w:val="24"/>
        </w:rPr>
        <w:t>(3) GBD ASEAN 2025 (đã có trong kho dự án QT10/QT12) — báo cáo các tỉ lệ ASEAN — khi gộp 10 quốc gia thường có I² &gt; 75% → phải phân tích từng quốc gia riêng.</w:t>
      </w:r>
    </w:p>
    <w:p>
      <w:r>
        <w:rPr>
          <w:rFonts w:ascii="Times New Roman" w:hAnsi="Times New Roman"/>
          <w:b/>
          <w:color w:val="0070C0"/>
          <w:sz w:val="26"/>
        </w:rPr>
        <w:t>Ví dụ tính I² thử cho dữ liệu giả định Việt Nam</w:t>
      </w:r>
    </w:p>
    <w:p>
      <w:r>
        <w:rPr>
          <w:rFonts w:ascii="Times New Roman" w:hAnsi="Times New Roman"/>
          <w:b w:val="0"/>
          <w:i w:val="0"/>
          <w:sz w:val="24"/>
        </w:rPr>
        <w:t>Giả sử có 5 nghiên cứu Việt Nam đo tỉ lệ lo âu ở học sinh THPT:</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402" w:type="dxa"/>
            <w:shd w:fill="D9E2F3" w:val="clear"/>
          </w:tcPr>
          <w:p>
            <w:pPr>
              <w:jc w:val="center"/>
            </w:pPr>
            <w:r>
              <w:rPr>
                <w:rFonts w:ascii="Times New Roman" w:hAnsi="Times New Roman"/>
                <w:b/>
                <w:sz w:val="20"/>
              </w:rPr>
              <w:t>Nghiên cứu</w:t>
            </w:r>
          </w:p>
        </w:tc>
        <w:tc>
          <w:tcPr>
            <w:tcW w:type="dxa" w:w="3230"/>
            <w:tcW w:w="1701" w:type="dxa"/>
            <w:shd w:fill="D9E2F3" w:val="clear"/>
          </w:tcPr>
          <w:p>
            <w:pPr>
              <w:jc w:val="center"/>
            </w:pPr>
            <w:r>
              <w:rPr>
                <w:rFonts w:ascii="Times New Roman" w:hAnsi="Times New Roman"/>
                <w:b/>
                <w:sz w:val="20"/>
              </w:rPr>
              <w:t>Tỉ lệ lo âu</w:t>
            </w:r>
          </w:p>
        </w:tc>
        <w:tc>
          <w:tcPr>
            <w:tcW w:type="dxa" w:w="3230"/>
            <w:tcW w:w="1701" w:type="dxa"/>
            <w:shd w:fill="D9E2F3" w:val="clear"/>
          </w:tcPr>
          <w:p>
            <w:pPr>
              <w:jc w:val="center"/>
            </w:pPr>
            <w:r>
              <w:rPr>
                <w:rFonts w:ascii="Times New Roman" w:hAnsi="Times New Roman"/>
                <w:b/>
                <w:sz w:val="20"/>
              </w:rPr>
              <w:t>Cỡ mẫu</w:t>
            </w:r>
          </w:p>
        </w:tc>
      </w:tr>
      <w:tr>
        <w:tc>
          <w:tcPr>
            <w:tcW w:type="dxa" w:w="3230"/>
            <w:tcW w:w="3402" w:type="dxa"/>
          </w:tcPr>
          <w:p>
            <w:r>
              <w:rPr>
                <w:rFonts w:ascii="Times New Roman" w:hAnsi="Times New Roman"/>
                <w:sz w:val="20"/>
              </w:rPr>
              <w:t>Hoa 2024 Hà Nội (corpus dự án)</w:t>
            </w:r>
          </w:p>
        </w:tc>
        <w:tc>
          <w:tcPr>
            <w:tcW w:type="dxa" w:w="3230"/>
            <w:tcW w:w="1701" w:type="dxa"/>
          </w:tcPr>
          <w:p>
            <w:r>
              <w:rPr>
                <w:rFonts w:ascii="Times New Roman" w:hAnsi="Times New Roman"/>
                <w:sz w:val="20"/>
              </w:rPr>
              <w:t>40,6%</w:t>
            </w:r>
          </w:p>
        </w:tc>
        <w:tc>
          <w:tcPr>
            <w:tcW w:type="dxa" w:w="3230"/>
            <w:tcW w:w="1701" w:type="dxa"/>
          </w:tcPr>
          <w:p>
            <w:r>
              <w:rPr>
                <w:rFonts w:ascii="Times New Roman" w:hAnsi="Times New Roman"/>
                <w:sz w:val="20"/>
              </w:rPr>
              <w:t>3.910</w:t>
            </w:r>
          </w:p>
        </w:tc>
      </w:tr>
      <w:tr>
        <w:tc>
          <w:tcPr>
            <w:tcW w:type="dxa" w:w="3230"/>
            <w:tcW w:w="3402" w:type="dxa"/>
          </w:tcPr>
          <w:p>
            <w:r>
              <w:rPr>
                <w:rFonts w:ascii="Times New Roman" w:hAnsi="Times New Roman"/>
                <w:sz w:val="20"/>
              </w:rPr>
              <w:t>Vĩnh Lộc 2024 TP.HCM</w:t>
            </w:r>
          </w:p>
        </w:tc>
        <w:tc>
          <w:tcPr>
            <w:tcW w:type="dxa" w:w="3230"/>
            <w:tcW w:w="1701" w:type="dxa"/>
          </w:tcPr>
          <w:p>
            <w:r>
              <w:rPr>
                <w:rFonts w:ascii="Times New Roman" w:hAnsi="Times New Roman"/>
                <w:sz w:val="20"/>
              </w:rPr>
              <w:t>50,3%</w:t>
            </w:r>
          </w:p>
        </w:tc>
        <w:tc>
          <w:tcPr>
            <w:tcW w:type="dxa" w:w="3230"/>
            <w:tcW w:w="1701" w:type="dxa"/>
          </w:tcPr>
          <w:p>
            <w:r>
              <w:rPr>
                <w:rFonts w:ascii="Times New Roman" w:hAnsi="Times New Roman"/>
                <w:sz w:val="20"/>
              </w:rPr>
              <w:t>976</w:t>
            </w:r>
          </w:p>
        </w:tc>
      </w:tr>
      <w:tr>
        <w:tc>
          <w:tcPr>
            <w:tcW w:type="dxa" w:w="3230"/>
            <w:tcW w:w="3402" w:type="dxa"/>
          </w:tcPr>
          <w:p>
            <w:r>
              <w:rPr>
                <w:rFonts w:ascii="Times New Roman" w:hAnsi="Times New Roman"/>
                <w:sz w:val="20"/>
              </w:rPr>
              <w:t>Lạng Sơn DTTS 2024</w:t>
            </w:r>
          </w:p>
        </w:tc>
        <w:tc>
          <w:tcPr>
            <w:tcW w:type="dxa" w:w="3230"/>
            <w:tcW w:w="1701" w:type="dxa"/>
          </w:tcPr>
          <w:p>
            <w:r>
              <w:rPr>
                <w:rFonts w:ascii="Times New Roman" w:hAnsi="Times New Roman"/>
                <w:sz w:val="20"/>
              </w:rPr>
              <w:t>54,4%</w:t>
            </w:r>
          </w:p>
        </w:tc>
        <w:tc>
          <w:tcPr>
            <w:tcW w:type="dxa" w:w="3230"/>
            <w:tcW w:w="1701" w:type="dxa"/>
          </w:tcPr>
          <w:p>
            <w:r>
              <w:rPr>
                <w:rFonts w:ascii="Times New Roman" w:hAnsi="Times New Roman"/>
                <w:sz w:val="20"/>
              </w:rPr>
              <w:t>845</w:t>
            </w:r>
          </w:p>
        </w:tc>
      </w:tr>
      <w:tr>
        <w:tc>
          <w:tcPr>
            <w:tcW w:type="dxa" w:w="3230"/>
            <w:tcW w:w="3402" w:type="dxa"/>
          </w:tcPr>
          <w:p>
            <w:r>
              <w:rPr>
                <w:rFonts w:ascii="Times New Roman" w:hAnsi="Times New Roman"/>
                <w:sz w:val="20"/>
              </w:rPr>
              <w:t>An Giang 2025</w:t>
            </w:r>
          </w:p>
        </w:tc>
        <w:tc>
          <w:tcPr>
            <w:tcW w:type="dxa" w:w="3230"/>
            <w:tcW w:w="1701" w:type="dxa"/>
          </w:tcPr>
          <w:p>
            <w:r>
              <w:rPr>
                <w:rFonts w:ascii="Times New Roman" w:hAnsi="Times New Roman"/>
                <w:sz w:val="20"/>
              </w:rPr>
              <w:t>61,2%</w:t>
            </w:r>
          </w:p>
        </w:tc>
        <w:tc>
          <w:tcPr>
            <w:tcW w:type="dxa" w:w="3230"/>
            <w:tcW w:w="1701" w:type="dxa"/>
          </w:tcPr>
          <w:p>
            <w:r>
              <w:rPr>
                <w:rFonts w:ascii="Times New Roman" w:hAnsi="Times New Roman"/>
                <w:sz w:val="20"/>
              </w:rPr>
              <w:t>366</w:t>
            </w:r>
          </w:p>
        </w:tc>
      </w:tr>
      <w:tr>
        <w:tc>
          <w:tcPr>
            <w:tcW w:type="dxa" w:w="3230"/>
            <w:tcW w:w="3402" w:type="dxa"/>
          </w:tcPr>
          <w:p>
            <w:r>
              <w:rPr>
                <w:rFonts w:ascii="Times New Roman" w:hAnsi="Times New Roman"/>
                <w:sz w:val="20"/>
              </w:rPr>
              <w:t>V-NAMHS 2022 toàn quốc (sàng lọc)</w:t>
            </w:r>
          </w:p>
        </w:tc>
        <w:tc>
          <w:tcPr>
            <w:tcW w:type="dxa" w:w="3230"/>
            <w:tcW w:w="1701" w:type="dxa"/>
          </w:tcPr>
          <w:p>
            <w:r>
              <w:rPr>
                <w:rFonts w:ascii="Times New Roman" w:hAnsi="Times New Roman"/>
                <w:sz w:val="20"/>
              </w:rPr>
              <w:t>21,7%</w:t>
            </w:r>
          </w:p>
        </w:tc>
        <w:tc>
          <w:tcPr>
            <w:tcW w:type="dxa" w:w="3230"/>
            <w:tcW w:w="1701" w:type="dxa"/>
          </w:tcPr>
          <w:p>
            <w:r>
              <w:rPr>
                <w:rFonts w:ascii="Times New Roman" w:hAnsi="Times New Roman"/>
                <w:sz w:val="20"/>
              </w:rPr>
              <w:t>5.996</w:t>
            </w:r>
          </w:p>
        </w:tc>
      </w:tr>
    </w:tbl>
    <w:p>
      <w:r>
        <w:rPr>
          <w:rFonts w:ascii="Times New Roman" w:hAnsi="Times New Roman"/>
          <w:b w:val="0"/>
          <w:i w:val="0"/>
          <w:sz w:val="24"/>
        </w:rPr>
        <w:t>Quan sát: tỉ lệ dao động 21,7% – 61,2% — chênh lệch GẦN 3 LẦN. Nếu chạy phân tích gộp các số liệu này, I² SẼ RẤT CAO (&gt;90%) — nghĩa là các nghiên cứu KHÔNG đồng nhất, không nên gộp chung. Cần phân tích phụ theo: công cụ đo (GAD-7 vs DASS-21 vs DISC-5), khu vực (đô thị vs nông thôn vs DTTS), thời điểm (trước/sau COVID).</w:t>
      </w:r>
    </w:p>
    <w:p>
      <w:r>
        <w:rPr>
          <w:rFonts w:ascii="Times New Roman" w:hAnsi="Times New Roman"/>
          <w:b/>
          <w:color w:val="0070C0"/>
          <w:sz w:val="30"/>
        </w:rPr>
        <w:t>9. LIÊN HỆ I² VỚI PHÂN TÍCH GỘP (MA — Meta-Analysis)</w:t>
      </w:r>
    </w:p>
    <w:p>
      <w:r>
        <w:rPr>
          <w:rFonts w:ascii="Times New Roman" w:hAnsi="Times New Roman"/>
          <w:b w:val="0"/>
          <w:i/>
          <w:color w:val="555555"/>
          <w:sz w:val="24"/>
        </w:rPr>
        <w:t>Em viết riêng phần này để giải đáp câu hỏi của thầy về tin nhắn có cụm "(I², τ²)" và "Với MA: I² &lt; 25 % = thấp".</w:t>
      </w:r>
    </w:p>
    <w:p>
      <w:r>
        <w:rPr>
          <w:rFonts w:ascii="Times New Roman" w:hAnsi="Times New Roman"/>
          <w:b/>
          <w:color w:val="0070C0"/>
          <w:sz w:val="26"/>
        </w:rPr>
        <w:t>9.1. MA là viết tắt của gì?</w:t>
      </w:r>
    </w:p>
    <w:p>
      <w:r>
        <w:rPr>
          <w:rFonts w:ascii="Times New Roman" w:hAnsi="Times New Roman"/>
          <w:b/>
          <w:i w:val="0"/>
          <w:sz w:val="28"/>
        </w:rPr>
        <w:t>MA = META-ANALYSIS = PHÂN TÍCH GỘP</w:t>
      </w:r>
    </w:p>
    <w:p>
      <w:r>
        <w:rPr>
          <w:rFonts w:ascii="Times New Roman" w:hAnsi="Times New Roman"/>
          <w:b w:val="0"/>
          <w:i w:val="0"/>
          <w:sz w:val="24"/>
        </w:rPr>
        <w:t>Là phương pháp THỐNG KÊ TỔNG HỢP kết quả định lượng từ NHIỀU nghiên cứu khác nhau để đưa ra một kết luận chung mạnh hơn từng nghiên cứu riêng lẻ. Khác với tổng quan hệ thống (Systematic Review — SR) chỉ MÔ TẢ các nghiên cứu, MA dùng công thức TOÁN HỌC để gộp số liệu (pool data).</w:t>
      </w:r>
    </w:p>
    <w:p>
      <w:r>
        <w:rPr>
          <w:rFonts w:ascii="Times New Roman" w:hAnsi="Times New Roman"/>
          <w:b w:val="0"/>
          <w:i w:val="0"/>
          <w:sz w:val="24"/>
        </w:rPr>
      </w:r>
    </w:p>
    <w:p>
      <w:r>
        <w:rPr>
          <w:rFonts w:ascii="Times New Roman" w:hAnsi="Times New Roman"/>
          <w:b w:val="0"/>
          <w:i w:val="0"/>
          <w:sz w:val="24"/>
        </w:rPr>
        <w:t>Liên hệ với SR: thường người ta làm SR + MA cùng lúc — gọi là SR with MA hoặc viết tắt SR/MA. Nhiều bài trong corpus dự án là SR/MA (vd. Frontiers Psychiatry 2025 — SR/MA 38 thử nghiệm; Zhang 2023 — SR/MA 65 thử nghiệm; Caldwell 2019 — SR/MA dạng mạng / network meta-analysis — NMA).</w:t>
      </w:r>
    </w:p>
    <w:p>
      <w:r>
        <w:rPr>
          <w:rFonts w:ascii="Times New Roman" w:hAnsi="Times New Roman"/>
          <w:b/>
          <w:color w:val="0070C0"/>
          <w:sz w:val="26"/>
        </w:rPr>
        <w:t>9.2. Vì sao MA CẦN I²?</w:t>
      </w:r>
    </w:p>
    <w:p>
      <w:r>
        <w:rPr>
          <w:rFonts w:ascii="Times New Roman" w:hAnsi="Times New Roman"/>
          <w:b w:val="0"/>
          <w:i w:val="0"/>
          <w:sz w:val="24"/>
        </w:rPr>
        <w:t>Khi MA gộp số liệu từ N nghiên cứu, người làm MA luôn phải trả lời 2 câu hỏi:</w:t>
      </w:r>
    </w:p>
    <w:p>
      <w:r>
        <w:rPr>
          <w:rFonts w:ascii="Times New Roman" w:hAnsi="Times New Roman"/>
          <w:b w:val="0"/>
          <w:i w:val="0"/>
          <w:sz w:val="24"/>
        </w:rPr>
        <w:t>• Câu 1: KẾT QUẢ GỘP là bao nhiêu? (effect size gộp + khoảng tin cậy 95%)</w:t>
      </w:r>
    </w:p>
    <w:p>
      <w:r>
        <w:rPr>
          <w:rFonts w:ascii="Times New Roman" w:hAnsi="Times New Roman"/>
          <w:b w:val="0"/>
          <w:i w:val="0"/>
          <w:sz w:val="24"/>
        </w:rPr>
        <w:t>• Câu 2: CÁC NGHIÊN CỨU CÓ ĐỒNG NHẤT KHÔNG? (heterogeneity)</w:t>
      </w:r>
    </w:p>
    <w:p>
      <w:r>
        <w:rPr>
          <w:rFonts w:ascii="Times New Roman" w:hAnsi="Times New Roman"/>
          <w:b w:val="0"/>
          <w:i w:val="0"/>
          <w:sz w:val="24"/>
        </w:rPr>
      </w:r>
    </w:p>
    <w:p>
      <w:r>
        <w:rPr>
          <w:rFonts w:ascii="Times New Roman" w:hAnsi="Times New Roman"/>
          <w:b/>
          <w:i w:val="0"/>
          <w:sz w:val="24"/>
        </w:rPr>
        <w:t>→ I² trả lời CHÍNH XÁC câu hỏi 2. Không có I², ta không biết kết quả gộp có đáng tin hay không. Vì vậy I² là CHỈ SỐ BẮT BUỘC PHẢI BÁO CÁO trong mọi MA (theo hướng dẫn báo cáo PRISMA 2020 — Preferred Reporting Items for Systematic Reviews and Meta-Analyses).</w:t>
      </w:r>
    </w:p>
    <w:p>
      <w:r>
        <w:rPr>
          <w:rFonts w:ascii="Times New Roman" w:hAnsi="Times New Roman"/>
          <w:b/>
          <w:color w:val="0070C0"/>
          <w:sz w:val="26"/>
        </w:rPr>
        <w:t>9.3. Cụm "(I², τ²)" trong tin nhắn nghĩa là gì?</w:t>
      </w:r>
    </w:p>
    <w:p>
      <w:r>
        <w:rPr>
          <w:rFonts w:ascii="Times New Roman" w:hAnsi="Times New Roman"/>
          <w:b w:val="0"/>
          <w:i w:val="0"/>
          <w:sz w:val="24"/>
        </w:rPr>
        <w:t>Đây là CẶP CHỈ SỐ KINH ĐIỂN luôn đi cùng nhau khi báo cáo heterogeneity trong MA:</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850" w:type="dxa"/>
            <w:shd w:fill="D9E2F3" w:val="clear"/>
          </w:tcPr>
          <w:p>
            <w:pPr>
              <w:jc w:val="center"/>
            </w:pPr>
            <w:r>
              <w:rPr>
                <w:rFonts w:ascii="Times New Roman" w:hAnsi="Times New Roman"/>
                <w:b/>
                <w:sz w:val="20"/>
              </w:rPr>
              <w:t>Chỉ số</w:t>
            </w:r>
          </w:p>
        </w:tc>
        <w:tc>
          <w:tcPr>
            <w:tcW w:type="dxa" w:w="1938"/>
            <w:tcW w:w="2268" w:type="dxa"/>
            <w:shd w:fill="D9E2F3" w:val="clear"/>
          </w:tcPr>
          <w:p>
            <w:pPr>
              <w:jc w:val="center"/>
            </w:pPr>
            <w:r>
              <w:rPr>
                <w:rFonts w:ascii="Times New Roman" w:hAnsi="Times New Roman"/>
                <w:b/>
                <w:sz w:val="20"/>
              </w:rPr>
              <w:t>Tên đầy đủ</w:t>
            </w:r>
          </w:p>
        </w:tc>
        <w:tc>
          <w:tcPr>
            <w:tcW w:type="dxa" w:w="1938"/>
            <w:tcW w:w="2268" w:type="dxa"/>
            <w:shd w:fill="D9E2F3" w:val="clear"/>
          </w:tcPr>
          <w:p>
            <w:pPr>
              <w:jc w:val="center"/>
            </w:pPr>
            <w:r>
              <w:rPr>
                <w:rFonts w:ascii="Times New Roman" w:hAnsi="Times New Roman"/>
                <w:b/>
                <w:sz w:val="20"/>
              </w:rPr>
              <w:t>Đơn vị</w:t>
            </w:r>
          </w:p>
        </w:tc>
        <w:tc>
          <w:tcPr>
            <w:tcW w:type="dxa" w:w="1938"/>
            <w:tcW w:w="3118" w:type="dxa"/>
            <w:shd w:fill="D9E2F3" w:val="clear"/>
          </w:tcPr>
          <w:p>
            <w:pPr>
              <w:jc w:val="center"/>
            </w:pPr>
            <w:r>
              <w:rPr>
                <w:rFonts w:ascii="Times New Roman" w:hAnsi="Times New Roman"/>
                <w:b/>
                <w:sz w:val="20"/>
              </w:rPr>
              <w:t>Đo gì</w:t>
            </w:r>
          </w:p>
        </w:tc>
        <w:tc>
          <w:tcPr>
            <w:tcW w:type="dxa" w:w="1938"/>
            <w:tcW w:w="2268" w:type="dxa"/>
            <w:shd w:fill="D9E2F3" w:val="clear"/>
          </w:tcPr>
          <w:p>
            <w:pPr>
              <w:jc w:val="center"/>
            </w:pPr>
            <w:r>
              <w:rPr>
                <w:rFonts w:ascii="Times New Roman" w:hAnsi="Times New Roman"/>
                <w:b/>
                <w:sz w:val="20"/>
              </w:rPr>
              <w:t>Khoảng giá trị</w:t>
            </w:r>
          </w:p>
        </w:tc>
      </w:tr>
      <w:tr>
        <w:tc>
          <w:tcPr>
            <w:tcW w:type="dxa" w:w="1938"/>
            <w:tcW w:w="850" w:type="dxa"/>
          </w:tcPr>
          <w:p>
            <w:r>
              <w:rPr>
                <w:rFonts w:ascii="Times New Roman" w:hAnsi="Times New Roman"/>
                <w:sz w:val="20"/>
              </w:rPr>
              <w:t>I²</w:t>
            </w:r>
          </w:p>
        </w:tc>
        <w:tc>
          <w:tcPr>
            <w:tcW w:type="dxa" w:w="1938"/>
            <w:tcW w:w="2268" w:type="dxa"/>
          </w:tcPr>
          <w:p>
            <w:r>
              <w:rPr>
                <w:rFonts w:ascii="Times New Roman" w:hAnsi="Times New Roman"/>
                <w:sz w:val="20"/>
              </w:rPr>
              <w:t>I-squared (I bình phương)</w:t>
            </w:r>
          </w:p>
        </w:tc>
        <w:tc>
          <w:tcPr>
            <w:tcW w:type="dxa" w:w="1938"/>
            <w:tcW w:w="2268" w:type="dxa"/>
          </w:tcPr>
          <w:p>
            <w:r>
              <w:rPr>
                <w:rFonts w:ascii="Times New Roman" w:hAnsi="Times New Roman"/>
                <w:sz w:val="20"/>
              </w:rPr>
              <w:t>Phần trăm (%)</w:t>
            </w:r>
          </w:p>
        </w:tc>
        <w:tc>
          <w:tcPr>
            <w:tcW w:type="dxa" w:w="1938"/>
            <w:tcW w:w="3118" w:type="dxa"/>
          </w:tcPr>
          <w:p>
            <w:r>
              <w:rPr>
                <w:rFonts w:ascii="Times New Roman" w:hAnsi="Times New Roman"/>
                <w:sz w:val="20"/>
              </w:rPr>
              <w:t>TỈ LỆ phương sai do heterogeneity (so với tổng phương sai)</w:t>
            </w:r>
          </w:p>
        </w:tc>
        <w:tc>
          <w:tcPr>
            <w:tcW w:type="dxa" w:w="1938"/>
            <w:tcW w:w="2268" w:type="dxa"/>
          </w:tcPr>
          <w:p>
            <w:r>
              <w:rPr>
                <w:rFonts w:ascii="Times New Roman" w:hAnsi="Times New Roman"/>
                <w:sz w:val="20"/>
              </w:rPr>
              <w:t>0% – 100%</w:t>
            </w:r>
          </w:p>
        </w:tc>
      </w:tr>
      <w:tr>
        <w:tc>
          <w:tcPr>
            <w:tcW w:type="dxa" w:w="1938"/>
            <w:tcW w:w="850" w:type="dxa"/>
          </w:tcPr>
          <w:p>
            <w:r>
              <w:rPr>
                <w:rFonts w:ascii="Times New Roman" w:hAnsi="Times New Roman"/>
                <w:sz w:val="20"/>
              </w:rPr>
              <w:t>τ²</w:t>
            </w:r>
          </w:p>
        </w:tc>
        <w:tc>
          <w:tcPr>
            <w:tcW w:type="dxa" w:w="1938"/>
            <w:tcW w:w="2268" w:type="dxa"/>
          </w:tcPr>
          <w:p>
            <w:r>
              <w:rPr>
                <w:rFonts w:ascii="Times New Roman" w:hAnsi="Times New Roman"/>
                <w:sz w:val="20"/>
              </w:rPr>
              <w:t>Tau-squared (Tau bình phương)</w:t>
            </w:r>
          </w:p>
        </w:tc>
        <w:tc>
          <w:tcPr>
            <w:tcW w:type="dxa" w:w="1938"/>
            <w:tcW w:w="2268" w:type="dxa"/>
          </w:tcPr>
          <w:p>
            <w:r>
              <w:rPr>
                <w:rFonts w:ascii="Times New Roman" w:hAnsi="Times New Roman"/>
                <w:sz w:val="20"/>
              </w:rPr>
              <w:t>Đơn vị giống effect size (vd. nếu effect size là Cohen d thì τ² đo bằng d²)</w:t>
            </w:r>
          </w:p>
        </w:tc>
        <w:tc>
          <w:tcPr>
            <w:tcW w:type="dxa" w:w="1938"/>
            <w:tcW w:w="3118" w:type="dxa"/>
          </w:tcPr>
          <w:p>
            <w:r>
              <w:rPr>
                <w:rFonts w:ascii="Times New Roman" w:hAnsi="Times New Roman"/>
                <w:sz w:val="20"/>
              </w:rPr>
              <w:t>GIÁ TRỊ TUYỆT ĐỐI của phương sai giữa các nghiên cứu (between-study variance)</w:t>
            </w:r>
          </w:p>
        </w:tc>
        <w:tc>
          <w:tcPr>
            <w:tcW w:type="dxa" w:w="1938"/>
            <w:tcW w:w="2268" w:type="dxa"/>
          </w:tcPr>
          <w:p>
            <w:r>
              <w:rPr>
                <w:rFonts w:ascii="Times New Roman" w:hAnsi="Times New Roman"/>
                <w:sz w:val="20"/>
              </w:rPr>
              <w:t>≥ 0 (không giới hạn trên)</w:t>
            </w:r>
          </w:p>
        </w:tc>
      </w:tr>
    </w:tbl>
    <w:p>
      <w:r>
        <w:rPr>
          <w:rFonts w:ascii="Times New Roman" w:hAnsi="Times New Roman"/>
          <w:b w:val="0"/>
          <w:i w:val="0"/>
          <w:sz w:val="24"/>
        </w:rPr>
      </w:r>
    </w:p>
    <w:p>
      <w:r>
        <w:rPr>
          <w:rFonts w:ascii="Times New Roman" w:hAnsi="Times New Roman"/>
          <w:b/>
          <w:i w:val="0"/>
          <w:sz w:val="24"/>
        </w:rPr>
        <w:t>KHÁC BIỆT QUAN TRỌNG:</w:t>
      </w:r>
    </w:p>
    <w:p>
      <w:r>
        <w:rPr>
          <w:rFonts w:ascii="Times New Roman" w:hAnsi="Times New Roman"/>
          <w:b w:val="0"/>
          <w:i w:val="0"/>
          <w:sz w:val="24"/>
        </w:rPr>
        <w:t>• I² là PHẦN TRĂM tương đối — giúp so sánh giữa các MA khác nhau (cùng thang 0-100%).</w:t>
      </w:r>
    </w:p>
    <w:p>
      <w:r>
        <w:rPr>
          <w:rFonts w:ascii="Times New Roman" w:hAnsi="Times New Roman"/>
          <w:b w:val="0"/>
          <w:i w:val="0"/>
          <w:sz w:val="24"/>
        </w:rPr>
        <w:t>• τ² là GIÁ TRỊ TUYỆT ĐỐI — giúp tính khoảng dự đoán (prediction interval) cho nghiên cứu mới.</w:t>
      </w:r>
    </w:p>
    <w:p>
      <w:r>
        <w:rPr>
          <w:rFonts w:ascii="Times New Roman" w:hAnsi="Times New Roman"/>
          <w:b w:val="0"/>
          <w:i w:val="0"/>
          <w:sz w:val="24"/>
        </w:rPr>
        <w:t>• Hai chỉ số bổ sung nhau — báo cả 2 cho người đọc cái nhìn đầy đủ.</w:t>
      </w:r>
    </w:p>
    <w:p>
      <w:r>
        <w:rPr>
          <w:rFonts w:ascii="Times New Roman" w:hAnsi="Times New Roman"/>
          <w:b/>
          <w:color w:val="0070C0"/>
          <w:sz w:val="26"/>
        </w:rPr>
        <w:t>9.4. Ngưỡng "I² &lt; 25% = thấp" trong MA — Diễn giải đầy đủ</w:t>
      </w:r>
    </w:p>
    <w:p>
      <w:r>
        <w:rPr>
          <w:rFonts w:ascii="Times New Roman" w:hAnsi="Times New Roman"/>
          <w:b w:val="0"/>
          <w:i w:val="0"/>
          <w:sz w:val="24"/>
        </w:rPr>
        <w:t>Tin nhắn của thầy ghi: "Với MA: I² &lt; 25 % = thấp". Đây là ngưỡng KINH ĐIỂN Higgins &amp; Thompson 2003 đưa ra:</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984" w:type="dxa"/>
            <w:shd w:fill="D9E2F3" w:val="clear"/>
          </w:tcPr>
          <w:p>
            <w:pPr>
              <w:jc w:val="center"/>
            </w:pPr>
            <w:r>
              <w:rPr>
                <w:rFonts w:ascii="Times New Roman" w:hAnsi="Times New Roman"/>
                <w:b/>
                <w:sz w:val="20"/>
              </w:rPr>
              <w:t>Ngưỡng I² trong MA</w:t>
            </w:r>
          </w:p>
        </w:tc>
        <w:tc>
          <w:tcPr>
            <w:tcW w:type="dxa" w:w="3230"/>
            <w:tcW w:w="1984" w:type="dxa"/>
            <w:shd w:fill="D9E2F3" w:val="clear"/>
          </w:tcPr>
          <w:p>
            <w:pPr>
              <w:jc w:val="center"/>
            </w:pPr>
            <w:r>
              <w:rPr>
                <w:rFonts w:ascii="Times New Roman" w:hAnsi="Times New Roman"/>
                <w:b/>
                <w:sz w:val="20"/>
              </w:rPr>
              <w:t>Mức heterogeneity</w:t>
            </w:r>
          </w:p>
        </w:tc>
        <w:tc>
          <w:tcPr>
            <w:tcW w:type="dxa" w:w="3230"/>
            <w:tcW w:w="4536" w:type="dxa"/>
            <w:shd w:fill="D9E2F3" w:val="clear"/>
          </w:tcPr>
          <w:p>
            <w:pPr>
              <w:jc w:val="center"/>
            </w:pPr>
            <w:r>
              <w:rPr>
                <w:rFonts w:ascii="Times New Roman" w:hAnsi="Times New Roman"/>
                <w:b/>
                <w:sz w:val="20"/>
              </w:rPr>
              <w:t>Ý nghĩa thực tiễn cho MA</w:t>
            </w:r>
          </w:p>
        </w:tc>
      </w:tr>
      <w:tr>
        <w:tc>
          <w:tcPr>
            <w:tcW w:type="dxa" w:w="3230"/>
            <w:tcW w:w="1984" w:type="dxa"/>
          </w:tcPr>
          <w:p>
            <w:r>
              <w:rPr>
                <w:rFonts w:ascii="Times New Roman" w:hAnsi="Times New Roman"/>
                <w:sz w:val="20"/>
              </w:rPr>
              <w:t>I² &lt; 25%</w:t>
            </w:r>
          </w:p>
        </w:tc>
        <w:tc>
          <w:tcPr>
            <w:tcW w:type="dxa" w:w="3230"/>
            <w:tcW w:w="1984" w:type="dxa"/>
          </w:tcPr>
          <w:p>
            <w:r>
              <w:rPr>
                <w:rFonts w:ascii="Times New Roman" w:hAnsi="Times New Roman"/>
                <w:sz w:val="20"/>
              </w:rPr>
              <w:t>THẤP (low)</w:t>
            </w:r>
          </w:p>
        </w:tc>
        <w:tc>
          <w:tcPr>
            <w:tcW w:type="dxa" w:w="3230"/>
            <w:tcW w:w="4536" w:type="dxa"/>
          </w:tcPr>
          <w:p>
            <w:r>
              <w:rPr>
                <w:rFonts w:ascii="Times New Roman" w:hAnsi="Times New Roman"/>
                <w:sz w:val="20"/>
              </w:rPr>
              <w:t>MA "khoẻ" — kết quả gộp đáng tin; có thể dùng mô hình hiệu ứng cố định (fixed-effects)</w:t>
            </w:r>
          </w:p>
        </w:tc>
      </w:tr>
      <w:tr>
        <w:tc>
          <w:tcPr>
            <w:tcW w:type="dxa" w:w="3230"/>
            <w:tcW w:w="1984" w:type="dxa"/>
          </w:tcPr>
          <w:p>
            <w:r>
              <w:rPr>
                <w:rFonts w:ascii="Times New Roman" w:hAnsi="Times New Roman"/>
                <w:sz w:val="20"/>
              </w:rPr>
              <w:t>25% ≤ I² &lt; 50%</w:t>
            </w:r>
          </w:p>
        </w:tc>
        <w:tc>
          <w:tcPr>
            <w:tcW w:type="dxa" w:w="3230"/>
            <w:tcW w:w="1984" w:type="dxa"/>
          </w:tcPr>
          <w:p>
            <w:r>
              <w:rPr>
                <w:rFonts w:ascii="Times New Roman" w:hAnsi="Times New Roman"/>
                <w:sz w:val="20"/>
              </w:rPr>
              <w:t>TRUNG BÌNH (moderate)</w:t>
            </w:r>
          </w:p>
        </w:tc>
        <w:tc>
          <w:tcPr>
            <w:tcW w:type="dxa" w:w="3230"/>
            <w:tcW w:w="4536" w:type="dxa"/>
          </w:tcPr>
          <w:p>
            <w:r>
              <w:rPr>
                <w:rFonts w:ascii="Times New Roman" w:hAnsi="Times New Roman"/>
                <w:sz w:val="20"/>
              </w:rPr>
              <w:t>MA chấp nhận được nhưng cần ghi chú; dùng được cả fixed + random effects</w:t>
            </w:r>
          </w:p>
        </w:tc>
      </w:tr>
      <w:tr>
        <w:tc>
          <w:tcPr>
            <w:tcW w:type="dxa" w:w="3230"/>
            <w:tcW w:w="1984" w:type="dxa"/>
          </w:tcPr>
          <w:p>
            <w:r>
              <w:rPr>
                <w:rFonts w:ascii="Times New Roman" w:hAnsi="Times New Roman"/>
                <w:sz w:val="20"/>
              </w:rPr>
              <w:t>50% ≤ I² &lt; 75%</w:t>
            </w:r>
          </w:p>
        </w:tc>
        <w:tc>
          <w:tcPr>
            <w:tcW w:type="dxa" w:w="3230"/>
            <w:tcW w:w="1984" w:type="dxa"/>
          </w:tcPr>
          <w:p>
            <w:r>
              <w:rPr>
                <w:rFonts w:ascii="Times New Roman" w:hAnsi="Times New Roman"/>
                <w:sz w:val="20"/>
              </w:rPr>
              <w:t>ĐÁNG KỂ (substantial)</w:t>
            </w:r>
          </w:p>
        </w:tc>
        <w:tc>
          <w:tcPr>
            <w:tcW w:type="dxa" w:w="3230"/>
            <w:tcW w:w="4536" w:type="dxa"/>
          </w:tcPr>
          <w:p>
            <w:r>
              <w:rPr>
                <w:rFonts w:ascii="Times New Roman" w:hAnsi="Times New Roman"/>
                <w:sz w:val="20"/>
              </w:rPr>
              <w:t>MA phải dùng MÔ HÌNH HIỆU ỨNG NGẪU NHIÊN (random-effects); cần phân tích phụ (subgroup analysis) để giải thích heterogeneity</w:t>
            </w:r>
          </w:p>
        </w:tc>
      </w:tr>
      <w:tr>
        <w:tc>
          <w:tcPr>
            <w:tcW w:type="dxa" w:w="3230"/>
            <w:tcW w:w="1984" w:type="dxa"/>
          </w:tcPr>
          <w:p>
            <w:r>
              <w:rPr>
                <w:rFonts w:ascii="Times New Roman" w:hAnsi="Times New Roman"/>
                <w:sz w:val="20"/>
              </w:rPr>
              <w:t>I² ≥ 75%</w:t>
            </w:r>
          </w:p>
        </w:tc>
        <w:tc>
          <w:tcPr>
            <w:tcW w:type="dxa" w:w="3230"/>
            <w:tcW w:w="1984" w:type="dxa"/>
          </w:tcPr>
          <w:p>
            <w:r>
              <w:rPr>
                <w:rFonts w:ascii="Times New Roman" w:hAnsi="Times New Roman"/>
                <w:sz w:val="20"/>
              </w:rPr>
              <w:t>CAO / CỰC CAO (high / considerable)</w:t>
            </w:r>
          </w:p>
        </w:tc>
        <w:tc>
          <w:tcPr>
            <w:tcW w:type="dxa" w:w="3230"/>
            <w:tcW w:w="4536" w:type="dxa"/>
          </w:tcPr>
          <w:p>
            <w:r>
              <w:rPr>
                <w:rFonts w:ascii="Times New Roman" w:hAnsi="Times New Roman"/>
                <w:sz w:val="20"/>
              </w:rPr>
              <w:t>KHÔNG NÊN GỘP số liệu chung — kết quả gộp không đáng tin; chỉ nên phân tích từng nghiên cứu riêng hoặc dùng meta-regression để mô hình hoá heterogeneity</w:t>
            </w:r>
          </w:p>
        </w:tc>
      </w:tr>
    </w:tbl>
    <w:p>
      <w:r>
        <w:rPr>
          <w:rFonts w:ascii="Times New Roman" w:hAnsi="Times New Roman"/>
          <w:b/>
          <w:color w:val="0070C0"/>
          <w:sz w:val="26"/>
        </w:rPr>
        <w:t>9.5. Quy trình thực tế khi đọc một bài MA</w:t>
      </w:r>
    </w:p>
    <w:p>
      <w:r>
        <w:rPr>
          <w:rFonts w:ascii="Times New Roman" w:hAnsi="Times New Roman"/>
          <w:b w:val="0"/>
          <w:i w:val="0"/>
          <w:sz w:val="24"/>
        </w:rPr>
        <w:t>Khi thầy đọc một bài MA, em đề xuất bám 4 bước theo thứ tự:</w:t>
      </w:r>
    </w:p>
    <w:p>
      <w:r>
        <w:rPr>
          <w:rFonts w:ascii="Times New Roman" w:hAnsi="Times New Roman"/>
          <w:b w:val="0"/>
          <w:i w:val="0"/>
          <w:sz w:val="24"/>
        </w:rPr>
        <w:t>• BƯỚC 1: Tìm KẾT QUẢ GỘP (pooled effect size) — thường ở phần Kết quả + Forest plot (biểu đồ rừng).</w:t>
      </w:r>
    </w:p>
    <w:p>
      <w:r>
        <w:rPr>
          <w:rFonts w:ascii="Times New Roman" w:hAnsi="Times New Roman"/>
          <w:b w:val="0"/>
          <w:i w:val="0"/>
          <w:sz w:val="24"/>
        </w:rPr>
        <w:t>• BƯỚC 2: Tìm I² — thường BÁO NGAY DƯỚI hoặc BÊN CẠNH effect size gộp.</w:t>
      </w:r>
    </w:p>
    <w:p>
      <w:r>
        <w:rPr>
          <w:rFonts w:ascii="Times New Roman" w:hAnsi="Times New Roman"/>
          <w:b w:val="0"/>
          <w:i w:val="0"/>
          <w:sz w:val="24"/>
        </w:rPr>
        <w:t>• BƯỚC 3: Đối chiếu I² với ngưỡng (xem bảng 9.4 trên):</w:t>
      </w:r>
    </w:p>
    <w:p>
      <w:r>
        <w:rPr>
          <w:rFonts w:ascii="Times New Roman" w:hAnsi="Times New Roman"/>
          <w:b w:val="0"/>
          <w:i w:val="0"/>
          <w:sz w:val="24"/>
        </w:rPr>
        <w:t xml:space="preserve">  – Nếu I² &lt; 25% → tin được kết quả gộp.</w:t>
      </w:r>
    </w:p>
    <w:p>
      <w:r>
        <w:rPr>
          <w:rFonts w:ascii="Times New Roman" w:hAnsi="Times New Roman"/>
          <w:b w:val="0"/>
          <w:i w:val="0"/>
          <w:sz w:val="24"/>
        </w:rPr>
        <w:t xml:space="preserve">  – Nếu I² ≥ 50% → THẬN TRỌNG, đọc thêm phân tích phụ.</w:t>
      </w:r>
    </w:p>
    <w:p>
      <w:r>
        <w:rPr>
          <w:rFonts w:ascii="Times New Roman" w:hAnsi="Times New Roman"/>
          <w:b w:val="0"/>
          <w:i w:val="0"/>
          <w:sz w:val="24"/>
        </w:rPr>
        <w:t>• BƯỚC 4: Xem tác giả có giải thích heterogeneity không (qua subgroup, meta-regression, sensitivity analysis). Nếu không có → MA chưa đầy đủ.</w:t>
      </w:r>
    </w:p>
    <w:p>
      <w:r>
        <w:rPr>
          <w:rFonts w:ascii="Times New Roman" w:hAnsi="Times New Roman"/>
          <w:b/>
          <w:color w:val="0070C0"/>
          <w:sz w:val="26"/>
        </w:rPr>
        <w:t>9.6. Ví dụ thực tế từ corpus dự án</w:t>
      </w:r>
    </w:p>
    <w:p>
      <w:r>
        <w:rPr>
          <w:rFonts w:ascii="Times New Roman" w:hAnsi="Times New Roman"/>
          <w:b/>
          <w:color w:val="0070C0"/>
          <w:sz w:val="24"/>
        </w:rPr>
        <w:t>Ví dụ 1 — Caldwell 2019 (Lancet Psychiatry NMA)</w:t>
      </w:r>
    </w:p>
    <w:p>
      <w:r>
        <w:rPr>
          <w:rFonts w:ascii="Times New Roman" w:hAnsi="Times New Roman"/>
          <w:b w:val="0"/>
          <w:i w:val="0"/>
          <w:sz w:val="24"/>
        </w:rPr>
        <w:t>• Loại bài: SR/MA dạng mạng (Network Meta-Analysis — NMA) các thử nghiệm có đối chứng về phòng ngừa lo âu + trầm cảm trẻ em / vị thành niên trong trường học.</w:t>
      </w:r>
    </w:p>
    <w:p>
      <w:r>
        <w:rPr>
          <w:rFonts w:ascii="Times New Roman" w:hAnsi="Times New Roman"/>
          <w:b w:val="0"/>
          <w:i w:val="0"/>
          <w:sz w:val="24"/>
        </w:rPr>
        <w:t>• Số nghiên cứu: 137</w:t>
      </w:r>
    </w:p>
    <w:p>
      <w:r>
        <w:rPr>
          <w:rFonts w:ascii="Times New Roman" w:hAnsi="Times New Roman"/>
          <w:b w:val="0"/>
          <w:i w:val="0"/>
          <w:sz w:val="24"/>
        </w:rPr>
        <w:t>• I² báo cáo: 30% – 45% (thay đổi tuỳ outcome) — mức TRUNG BÌNH</w:t>
      </w:r>
    </w:p>
    <w:p>
      <w:r>
        <w:rPr>
          <w:rFonts w:ascii="Times New Roman" w:hAnsi="Times New Roman"/>
          <w:b w:val="0"/>
          <w:i w:val="0"/>
          <w:sz w:val="24"/>
        </w:rPr>
        <w:t>• Diễn giải: Có heterogeneity vừa phải; tác giả dùng mô hình hiệu ứng ngẫu nhiên + phân tích phụ theo loại can thiệp (CBT vs chánh niệm vs giáo dục) → giải thích được phần lớn heterogeneity.</w:t>
      </w:r>
    </w:p>
    <w:p>
      <w:r>
        <w:rPr>
          <w:rFonts w:ascii="Times New Roman" w:hAnsi="Times New Roman"/>
          <w:b w:val="0"/>
          <w:i w:val="0"/>
          <w:sz w:val="24"/>
        </w:rPr>
        <w:t>• Kết luận của Caldwell: bằng chứng YẾU cho hầu hết can thiệp (effect size nhỏ + heterogeneity vừa phải).</w:t>
      </w:r>
    </w:p>
    <w:p>
      <w:r>
        <w:rPr>
          <w:rFonts w:ascii="Times New Roman" w:hAnsi="Times New Roman"/>
          <w:b/>
          <w:color w:val="0070C0"/>
          <w:sz w:val="24"/>
        </w:rPr>
        <w:t>Ví dụ 2 — Zhang 2023 (J Youth Adolescence)</w:t>
      </w:r>
    </w:p>
    <w:p>
      <w:r>
        <w:rPr>
          <w:rFonts w:ascii="Times New Roman" w:hAnsi="Times New Roman"/>
          <w:b w:val="0"/>
          <w:i w:val="0"/>
          <w:sz w:val="24"/>
        </w:rPr>
        <w:t>• Loại bài: SR/MA 65 thử nghiệm có đối chứng về can thiệp SKTT trường học</w:t>
      </w:r>
    </w:p>
    <w:p>
      <w:r>
        <w:rPr>
          <w:rFonts w:ascii="Times New Roman" w:hAnsi="Times New Roman"/>
          <w:b w:val="0"/>
          <w:i w:val="0"/>
          <w:sz w:val="24"/>
        </w:rPr>
        <w:t>• I² báo cáo: 50% – 70% — mức ĐÁNG KỂ</w:t>
      </w:r>
    </w:p>
    <w:p>
      <w:r>
        <w:rPr>
          <w:rFonts w:ascii="Times New Roman" w:hAnsi="Times New Roman"/>
          <w:b w:val="0"/>
          <w:i w:val="0"/>
          <w:sz w:val="24"/>
        </w:rPr>
        <w:t>• Diễn giải: Heterogeneity cao → tác giả phải làm phân tích phụ rất chi tiết (theo loại can thiệp, người cung cấp, lứa tuổi, thời gian) → cuối cùng kết luận CBT do chuyên gia lâm sàng cung cấp ở THPT cho effect size cao nhất.</w:t>
      </w:r>
    </w:p>
    <w:p>
      <w:r>
        <w:rPr>
          <w:rFonts w:ascii="Times New Roman" w:hAnsi="Times New Roman"/>
          <w:b/>
          <w:color w:val="0070C0"/>
          <w:sz w:val="24"/>
        </w:rPr>
        <w:t>Ví dụ 3 — Phân tích gộp giả định cho dữ liệu Việt Nam</w:t>
      </w:r>
    </w:p>
    <w:p>
      <w:r>
        <w:rPr>
          <w:rFonts w:ascii="Times New Roman" w:hAnsi="Times New Roman"/>
          <w:b w:val="0"/>
          <w:i w:val="0"/>
          <w:sz w:val="24"/>
        </w:rPr>
        <w:t>Như đã ghi ở mục 8 — nếu gộp 5 nghiên cứu lo âu HS THPT Việt Nam (Hoa Hà Nội 40,6%, Vĩnh Lộc 50,3%, Lạng Sơn DTTS 54,4%, An Giang 61,2%, V-NAMHS 21,7%), I² SẼ rất cao (&gt;90%). Lúc này KHÔNG NÊN báo "tỉ lệ lo âu HS THPT Việt Nam = X%" mà phải báo riêng từng vùng / từng công cụ đo.</w:t>
      </w:r>
    </w:p>
    <w:p>
      <w:r>
        <w:rPr>
          <w:rFonts w:ascii="Times New Roman" w:hAnsi="Times New Roman"/>
          <w:b/>
          <w:color w:val="0070C0"/>
          <w:sz w:val="26"/>
        </w:rPr>
        <w:t>9.7. Bảng tóm gọn cho thầy về cụm "(I², τ²) — Với MA: I² &lt; 25% = thấp"</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Câu trong tin nhắn</w:t>
            </w:r>
          </w:p>
        </w:tc>
        <w:tc>
          <w:tcPr>
            <w:tcW w:type="dxa" w:w="4844"/>
            <w:tcW w:w="6520" w:type="dxa"/>
            <w:shd w:fill="D9E2F3" w:val="clear"/>
          </w:tcPr>
          <w:p>
            <w:pPr>
              <w:jc w:val="center"/>
            </w:pPr>
            <w:r>
              <w:rPr>
                <w:rFonts w:ascii="Times New Roman" w:hAnsi="Times New Roman"/>
                <w:b/>
                <w:sz w:val="20"/>
              </w:rPr>
              <w:t>Giải thích cho thầy</w:t>
            </w:r>
          </w:p>
        </w:tc>
      </w:tr>
      <w:tr>
        <w:tc>
          <w:tcPr>
            <w:tcW w:type="dxa" w:w="4844"/>
            <w:tcW w:w="2551" w:type="dxa"/>
          </w:tcPr>
          <w:p>
            <w:r>
              <w:rPr>
                <w:rFonts w:ascii="Times New Roman" w:hAnsi="Times New Roman"/>
                <w:sz w:val="20"/>
              </w:rPr>
              <w:t>MA</w:t>
            </w:r>
          </w:p>
        </w:tc>
        <w:tc>
          <w:tcPr>
            <w:tcW w:type="dxa" w:w="4844"/>
            <w:tcW w:w="6520" w:type="dxa"/>
          </w:tcPr>
          <w:p>
            <w:r>
              <w:rPr>
                <w:rFonts w:ascii="Times New Roman" w:hAnsi="Times New Roman"/>
                <w:sz w:val="20"/>
              </w:rPr>
              <w:t>Meta-Analysis = Phân tích gộp — gộp số liệu từ NHIỀU nghiên cứu</w:t>
            </w:r>
          </w:p>
        </w:tc>
      </w:tr>
      <w:tr>
        <w:tc>
          <w:tcPr>
            <w:tcW w:type="dxa" w:w="4844"/>
            <w:tcW w:w="2551" w:type="dxa"/>
          </w:tcPr>
          <w:p>
            <w:r>
              <w:rPr>
                <w:rFonts w:ascii="Times New Roman" w:hAnsi="Times New Roman"/>
                <w:sz w:val="20"/>
              </w:rPr>
              <w:t>(I², τ²)</w:t>
            </w:r>
          </w:p>
        </w:tc>
        <w:tc>
          <w:tcPr>
            <w:tcW w:type="dxa" w:w="4844"/>
            <w:tcW w:w="6520" w:type="dxa"/>
          </w:tcPr>
          <w:p>
            <w:r>
              <w:rPr>
                <w:rFonts w:ascii="Times New Roman" w:hAnsi="Times New Roman"/>
                <w:sz w:val="20"/>
              </w:rPr>
              <w:t>Cặp chỉ số đo độ KHÔNG đồng nhất giữa các nghiên cứu — luôn báo cáo cùng nhau trong MA</w:t>
            </w:r>
          </w:p>
        </w:tc>
      </w:tr>
      <w:tr>
        <w:tc>
          <w:tcPr>
            <w:tcW w:type="dxa" w:w="4844"/>
            <w:tcW w:w="2551" w:type="dxa"/>
          </w:tcPr>
          <w:p>
            <w:r>
              <w:rPr>
                <w:rFonts w:ascii="Times New Roman" w:hAnsi="Times New Roman"/>
                <w:sz w:val="20"/>
              </w:rPr>
              <w:t>I²</w:t>
            </w:r>
          </w:p>
        </w:tc>
        <w:tc>
          <w:tcPr>
            <w:tcW w:type="dxa" w:w="4844"/>
            <w:tcW w:w="6520" w:type="dxa"/>
          </w:tcPr>
          <w:p>
            <w:r>
              <w:rPr>
                <w:rFonts w:ascii="Times New Roman" w:hAnsi="Times New Roman"/>
                <w:sz w:val="20"/>
              </w:rPr>
              <w:t>Phần trăm (%) phương sai do heterogeneity — phổ 0-100%</w:t>
            </w:r>
          </w:p>
        </w:tc>
      </w:tr>
      <w:tr>
        <w:tc>
          <w:tcPr>
            <w:tcW w:type="dxa" w:w="4844"/>
            <w:tcW w:w="2551" w:type="dxa"/>
          </w:tcPr>
          <w:p>
            <w:r>
              <w:rPr>
                <w:rFonts w:ascii="Times New Roman" w:hAnsi="Times New Roman"/>
                <w:sz w:val="20"/>
              </w:rPr>
              <w:t>τ²</w:t>
            </w:r>
          </w:p>
        </w:tc>
        <w:tc>
          <w:tcPr>
            <w:tcW w:type="dxa" w:w="4844"/>
            <w:tcW w:w="6520" w:type="dxa"/>
          </w:tcPr>
          <w:p>
            <w:r>
              <w:rPr>
                <w:rFonts w:ascii="Times New Roman" w:hAnsi="Times New Roman"/>
                <w:sz w:val="20"/>
              </w:rPr>
              <w:t>Phương sai TUYỆT ĐỐI giữa các nghiên cứu — đơn vị giống effect size</w:t>
            </w:r>
          </w:p>
        </w:tc>
      </w:tr>
      <w:tr>
        <w:tc>
          <w:tcPr>
            <w:tcW w:type="dxa" w:w="4844"/>
            <w:tcW w:w="2551" w:type="dxa"/>
          </w:tcPr>
          <w:p>
            <w:r>
              <w:rPr>
                <w:rFonts w:ascii="Times New Roman" w:hAnsi="Times New Roman"/>
                <w:sz w:val="20"/>
              </w:rPr>
              <w:t>I² &lt; 25%</w:t>
            </w:r>
          </w:p>
        </w:tc>
        <w:tc>
          <w:tcPr>
            <w:tcW w:type="dxa" w:w="4844"/>
            <w:tcW w:w="6520" w:type="dxa"/>
          </w:tcPr>
          <w:p>
            <w:r>
              <w:rPr>
                <w:rFonts w:ascii="Times New Roman" w:hAnsi="Times New Roman"/>
                <w:sz w:val="20"/>
              </w:rPr>
              <w:t>Heterogeneity THẤP — các nghiên cứu khá đồng nhất → MA đáng tin</w:t>
            </w:r>
          </w:p>
        </w:tc>
      </w:tr>
      <w:tr>
        <w:tc>
          <w:tcPr>
            <w:tcW w:type="dxa" w:w="4844"/>
            <w:tcW w:w="2551" w:type="dxa"/>
          </w:tcPr>
          <w:p>
            <w:r>
              <w:rPr>
                <w:rFonts w:ascii="Times New Roman" w:hAnsi="Times New Roman"/>
                <w:sz w:val="20"/>
              </w:rPr>
              <w:t>Với MA: ...</w:t>
            </w:r>
          </w:p>
        </w:tc>
        <w:tc>
          <w:tcPr>
            <w:tcW w:type="dxa" w:w="4844"/>
            <w:tcW w:w="6520" w:type="dxa"/>
          </w:tcPr>
          <w:p>
            <w:r>
              <w:rPr>
                <w:rFonts w:ascii="Times New Roman" w:hAnsi="Times New Roman"/>
                <w:sz w:val="20"/>
              </w:rPr>
              <w:t>Đây là quy ước CHUẨN khi báo cáo MA — bắt buộc theo PRISMA 2020</w:t>
            </w:r>
          </w:p>
        </w:tc>
      </w:tr>
    </w:tbl>
    <w:p>
      <w:r>
        <w:rPr>
          <w:rFonts w:ascii="Times New Roman" w:hAnsi="Times New Roman"/>
          <w:b/>
          <w:color w:val="0070C0"/>
          <w:sz w:val="26"/>
        </w:rPr>
        <w:t>9.8. Khi viết báo cáo / bài báo MA bằng tiếng Việt</w:t>
      </w:r>
    </w:p>
    <w:p>
      <w:r>
        <w:rPr>
          <w:rFonts w:ascii="Times New Roman" w:hAnsi="Times New Roman"/>
          <w:b w:val="0"/>
          <w:i w:val="0"/>
          <w:sz w:val="24"/>
        </w:rPr>
        <w:t>Quy ước chuẩn khi viết MA tiếng Việt (theo PRISMA 2020 + Cochrane Handbook):</w:t>
      </w:r>
    </w:p>
    <w:p>
      <w:r>
        <w:rPr>
          <w:rFonts w:ascii="Times New Roman" w:hAnsi="Times New Roman"/>
          <w:b w:val="0"/>
          <w:i w:val="0"/>
          <w:sz w:val="24"/>
        </w:rPr>
        <w:t>• Câu mẫu báo I²: "Mức độ không đồng nhất giữa các nghiên cứu được đánh giá là TRUNG BÌNH (I² = 45%, τ² = 0,12)".</w:t>
      </w:r>
    </w:p>
    <w:p>
      <w:r>
        <w:rPr>
          <w:rFonts w:ascii="Times New Roman" w:hAnsi="Times New Roman"/>
          <w:b w:val="0"/>
          <w:i w:val="0"/>
          <w:sz w:val="24"/>
        </w:rPr>
        <w:t>• Câu mẫu khi I² thấp: "Các nghiên cứu cho thấy mức độ đồng nhất cao (I² = 18%), do đó mô hình hiệu ứng cố định được sử dụng để gộp số liệu".</w:t>
      </w:r>
    </w:p>
    <w:p>
      <w:r>
        <w:rPr>
          <w:rFonts w:ascii="Times New Roman" w:hAnsi="Times New Roman"/>
          <w:b w:val="0"/>
          <w:i w:val="0"/>
          <w:sz w:val="24"/>
        </w:rPr>
        <w:t>• Câu mẫu khi I² cao: "Heterogeneity giữa các nghiên cứu rất cao (I² = 82%); do đó kết quả gộp chỉ được trình bày để tham khảo, không nên áp dụng trực tiếp vào thực tiễn lâm sàng. Phân tích phụ theo [yếu tố X] giúp giảm I² xuống còn [Y%]".</w:t>
      </w:r>
    </w:p>
    <w:p>
      <w:r>
        <w:rPr>
          <w:rFonts w:ascii="Times New Roman" w:hAnsi="Times New Roman"/>
          <w:b/>
          <w:color w:val="0070C0"/>
          <w:sz w:val="30"/>
        </w:rPr>
        <w:t>10. THAM KHẢO ĐẦY ĐỦ</w:t>
      </w:r>
    </w:p>
    <w:p>
      <w:r>
        <w:rPr>
          <w:rFonts w:ascii="Times New Roman" w:hAnsi="Times New Roman"/>
          <w:b w:val="0"/>
          <w:i w:val="0"/>
          <w:sz w:val="22"/>
        </w:rPr>
        <w:t>1. Higgins JPT, Thompson SG (2002). Quantifying heterogeneity in a meta-analysis. Statistics in Medicine, 21(11):1539–1558. DOI: 10.1002/sim.1186 — PMID 12111919. (BÀI GỐC đề xuất I²)</w:t>
      </w:r>
    </w:p>
    <w:p>
      <w:r>
        <w:rPr>
          <w:rFonts w:ascii="Times New Roman" w:hAnsi="Times New Roman"/>
          <w:b w:val="0"/>
          <w:i w:val="0"/>
          <w:sz w:val="22"/>
        </w:rPr>
        <w:t>2. Higgins JPT, Thompson SG, Deeks JJ, Altman DG (2003). Measuring inconsistency in meta-analyses. BMJ, 327:557–560. DOI: 10.1136/bmj.327.7414.557 — PMID 12958120. (Bài GIẢI THÍCH cho người dùng lâm sàng — dễ đọc nhất)</w:t>
      </w:r>
    </w:p>
    <w:p>
      <w:r>
        <w:rPr>
          <w:rFonts w:ascii="Times New Roman" w:hAnsi="Times New Roman"/>
          <w:b w:val="0"/>
          <w:i w:val="0"/>
          <w:sz w:val="22"/>
        </w:rPr>
        <w:t>3. Cochrane Handbook for Systematic Reviews of Interventions (phiên bản mới nhất). Higgins JPT, Thomas J, Chandler J, Cumpston M, Li T, Page MJ, Welch VA (chủ biên). Cochrane Collaboration. Chương 10.10: Heterogeneity. https://training.cochrane.org/handbook</w:t>
      </w:r>
    </w:p>
    <w:p>
      <w:r>
        <w:rPr>
          <w:rFonts w:ascii="Times New Roman" w:hAnsi="Times New Roman"/>
          <w:b w:val="0"/>
          <w:i w:val="0"/>
          <w:sz w:val="22"/>
        </w:rPr>
        <w:t>4. Borenstein M, Hedges LV, Higgins JPT, Rothstein HR (2009). Introduction to Meta-Analysis. Wiley. ISBN 978-0-470-05724-7. (Sách giáo khoa kinh điển về meta-analysis — chương 16 về heterogeneity)</w:t>
      </w:r>
    </w:p>
    <w:p>
      <w:r>
        <w:rPr>
          <w:rFonts w:ascii="Times New Roman" w:hAnsi="Times New Roman"/>
          <w:b w:val="0"/>
          <w:i w:val="0"/>
          <w:sz w:val="22"/>
        </w:rPr>
        <w:t>5. Cuijpers P (2016). Meta-analyses in mental health research: A practical guide. Pim Cuijpers Tools. (Hướng dẫn thực hành cho nghiên cứu sức khỏe tâm thần)</w:t>
      </w:r>
    </w:p>
    <w:p>
      <w:r>
        <w:rPr>
          <w:rFonts w:ascii="Times New Roman" w:hAnsi="Times New Roman"/>
          <w:b/>
          <w:color w:val="0070C0"/>
          <w:sz w:val="26"/>
        </w:rPr>
        <w:t>Sách / tài liệu tiếng Việt về phân tích gộp</w:t>
      </w:r>
    </w:p>
    <w:p>
      <w:r>
        <w:rPr>
          <w:rFonts w:ascii="Times New Roman" w:hAnsi="Times New Roman"/>
          <w:b w:val="0"/>
          <w:i w:val="0"/>
          <w:sz w:val="22"/>
        </w:rPr>
        <w:t>• Hồ Nguyễn Phúc Vương (chủ biên) (2018). Phân tích gộp trong y học chứng cứ. NXB Y học. (Một trong số ít sách tiếng Việt về meta-analysis — có chương riêng về heterogeneity và I²)</w:t>
      </w:r>
    </w:p>
    <w:p>
      <w:r>
        <w:rPr>
          <w:rFonts w:ascii="Times New Roman" w:hAnsi="Times New Roman"/>
          <w:b w:val="0"/>
          <w:i w:val="0"/>
          <w:sz w:val="22"/>
        </w:rPr>
        <w:t>• Trần Bình Tuấn (2020). Thống kê y học cơ bản. NXB Y học. (Có phần giới thiệu I² trong chương meta-analysis)</w:t>
      </w:r>
    </w:p>
    <w:p>
      <w:r>
        <w:rPr>
          <w:rFonts w:ascii="Times New Roman" w:hAnsi="Times New Roman"/>
          <w:b/>
          <w:color w:val="0070C0"/>
          <w:sz w:val="26"/>
        </w:rPr>
        <w:t>Truy vết nội bộ</w:t>
      </w:r>
    </w:p>
    <w:p>
      <w:r>
        <w:rPr>
          <w:rFonts w:ascii="Times New Roman" w:hAnsi="Times New Roman"/>
          <w:b w:val="0"/>
          <w:i w:val="0"/>
          <w:sz w:val="22"/>
        </w:rPr>
        <w:t>• Doc này: 01_Bao-cao/I_binh_phuong_giai_thich_cho_thay_27042026.docx</w:t>
      </w:r>
    </w:p>
    <w:p>
      <w:r>
        <w:rPr>
          <w:rFonts w:ascii="Times New Roman" w:hAnsi="Times New Roman"/>
          <w:b w:val="0"/>
          <w:i w:val="0"/>
          <w:sz w:val="22"/>
        </w:rPr>
        <w:t>• Glossary nội bộ: 06_Scripts/glossary_data/glossary_v3_pedagogical.json — em đề xuất bổ sung mục "I²" và "heterogeneity" vào glossary để dùng cho các doc sau</w:t>
      </w:r>
    </w:p>
    <w:p>
      <w:r>
        <w:rPr>
          <w:rFonts w:ascii="Times New Roman" w:hAnsi="Times New Roman"/>
          <w:b w:val="0"/>
          <w:i w:val="0"/>
          <w:sz w:val="22"/>
        </w:rPr>
        <w:t>• Áp dụng kiến thức này khi đọc: Caldwell 2019 (đã trích trong 3 doc Brown), Zhang 2023, Frontiers 2025 (TuLieu V3), QT29 Li 2025 NMA (corpus dự án)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