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KTC 90% của RMSEA (0,024 – 0,067) có được không?</w:t>
      </w:r>
    </w:p>
    <w:p>
      <w:r>
        <w:rPr>
          <w:b/>
          <w:color w:val="1F497D"/>
          <w:sz w:val="28"/>
        </w:rPr>
        <w:t>— Vì sao RMSEA dùng KTC 90% là CHUẨN VÀNG (không phải 95%) —</w:t>
      </w:r>
    </w:p>
    <w:p>
      <w:r>
        <w:rPr>
          <w:b/>
          <w:color w:val="1F497D"/>
          <w:sz w:val="28"/>
        </w:rPr>
        <w:t>Câu hỏi của thầy</w:t>
      </w:r>
    </w:p>
    <w:p>
      <w:r>
        <w:rPr>
          <w:b w:val="0"/>
          <w:i w:val="0"/>
          <w:color w:val="0070C0"/>
          <w:sz w:val="24"/>
        </w:rPr>
        <w:t>Khoảng tin cậy 90% của RMSEA (0,024 - 0,067) có được không Em?</w:t>
      </w:r>
    </w:p>
    <w:p>
      <w:r>
        <w:rPr>
          <w:b/>
          <w:color w:val="1F497D"/>
          <w:sz w:val="28"/>
        </w:rPr>
        <w:t>1. NGẮN GỌN — CÓ, ĐÚNG CHUẨN</w:t>
      </w:r>
    </w:p>
    <w:p>
      <w:r>
        <w:rPr>
          <w:b/>
          <w:i w:val="0"/>
          <w:color w:val="007030"/>
          <w:sz w:val="24"/>
        </w:rPr>
        <w:t>KTC 90% cho RMSEA là CHUẨN VÀNG quốc tế — KHÔNG PHẢI 95%. Đây là một trong số RẤT ÍT trường hợp mà KTC 90% được khuyến nghị chính thức.</w:t>
      </w:r>
    </w:p>
    <w:p>
      <w:r>
        <w:rPr>
          <w:b/>
          <w:color w:val="1F497D"/>
          <w:sz w:val="28"/>
        </w:rPr>
        <w:t>2. VÌ SAO KTC 90% (không phải 95%) cho RMSEA?</w:t>
      </w:r>
    </w:p>
    <w:p>
      <w:r>
        <w:rPr>
          <w:b w:val="0"/>
          <w:i w:val="0"/>
          <w:color w:val="000000"/>
          <w:sz w:val="24"/>
        </w:rPr>
        <w:t>RMSEA (Root Mean Square Error of Approximation) là chỉ số đánh giá độ phù hợp của mô hình SEM/CFA. Khác với hầu hết phép thống kê, RMSEA dùng phân phối non-central chi-square chứ không phải phân phối chuẩn.</w:t>
      </w:r>
    </w:p>
    <w:p>
      <w:r>
        <w:rPr>
          <w:b/>
          <w:i w:val="0"/>
          <w:color w:val="000000"/>
          <w:sz w:val="24"/>
        </w:rPr>
        <w:t>Browne &amp; Cudeck (1993) — paper kinh điển đặt nền cho RMSEA — đã đề xuất KTC 90% với 2 lý do chính:</w:t>
      </w:r>
    </w:p>
    <w:p>
      <w:pPr>
        <w:pStyle w:val="ListBullet"/>
      </w:pPr>
      <w:r>
        <w:rPr>
          <w:i w:val="0"/>
          <w:color w:val="000000"/>
          <w:sz w:val="24"/>
        </w:rPr>
        <w:t>1. KTC 90% hai phía tương đương kiểm định 5% một phía. Vì RMSEA chỉ kiểm tra GIỚI HẠN TRÊN (mô hình KHÔNG fit kém) — chỉ quan tâm cận trên có vượt 0,08 hay không — nên KTC 90% đủ chặt.</w:t>
      </w:r>
    </w:p>
    <w:p>
      <w:pPr>
        <w:pStyle w:val="ListBullet"/>
      </w:pPr>
      <w:r>
        <w:rPr>
          <w:i w:val="0"/>
          <w:color w:val="000000"/>
          <w:sz w:val="24"/>
        </w:rPr>
        <w:t>2. Phân phối non-central chi-square của RMSEA có tính chất bất đối xứng, làm KTC 95% rất rộng và ít hữu ích.</w:t>
      </w:r>
    </w:p>
    <w:p>
      <w:r>
        <w:rPr>
          <w:b w:val="0"/>
          <w:i/>
          <w:color w:val="000000"/>
          <w:sz w:val="24"/>
        </w:rPr>
        <w:t>Từ đó, mọi sách giáo trình SEM (Brown 2015, Kline 2016, Byrne 2016) và mọi phần mềm (AMOS, Mplus, lavaan R) đều mặc định xuất KTC 90% cho RMSEA. Đây là quy ước CHUẨN HÓA toàn cầu.</w:t>
      </w:r>
    </w:p>
    <w:p>
      <w:r>
        <w:rPr>
          <w:b/>
          <w:color w:val="1F497D"/>
          <w:sz w:val="28"/>
        </w:rPr>
        <w:t>3. ĐÁNH GIÁ KTC 0,024 – 0,067 CỤ THỂ</w:t>
      </w:r>
    </w:p>
    <w:p>
      <w:r>
        <w:rPr>
          <w:b/>
          <w:i w:val="0"/>
          <w:color w:val="000000"/>
          <w:sz w:val="24"/>
        </w:rPr>
        <w:t>Áp dụng tiêu chí Hu &amp; Bentler (1999) + MacCallum, Browne &amp; Sugawara (1996):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Giá trị RMSEA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Phân loại độ fit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&lt; 0,01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Excellent (xuất sắc)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0,01 – 0,05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Tốt (good fit)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0,05 – 0,08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Chấp nhận được (acceptable / mediocre fit)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0,08 – 0,10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Kém (poor fit)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&gt; 0,10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Không chấp nhận (unacceptable)</w:t>
            </w:r>
          </w:p>
        </w:tc>
      </w:tr>
    </w:tbl>
    <w:p>
      <w:r>
        <w:rPr>
          <w:b w:val="0"/>
          <w:i w:val="0"/>
          <w:color w:val="000000"/>
          <w:sz w:val="24"/>
        </w:rPr>
      </w:r>
    </w:p>
    <w:p>
      <w:r>
        <w:rPr>
          <w:b/>
          <w:i w:val="0"/>
          <w:color w:val="000000"/>
          <w:sz w:val="24"/>
        </w:rPr>
        <w:t>Áp dụng cho KTC 90% [0,024 – 0,067]:</w:t>
      </w:r>
    </w:p>
    <w:p>
      <w:pPr>
        <w:pStyle w:val="ListBullet"/>
      </w:pPr>
      <w:r>
        <w:rPr>
          <w:i w:val="0"/>
          <w:color w:val="000000"/>
          <w:sz w:val="24"/>
        </w:rPr>
        <w:t>Cận DƯỚI = 0,024 → mô hình ÍT NHẤT có "Tốt" (good fit, &lt; 0,05).</w:t>
      </w:r>
    </w:p>
    <w:p>
      <w:pPr>
        <w:pStyle w:val="ListBullet"/>
      </w:pPr>
      <w:r>
        <w:rPr>
          <w:i w:val="0"/>
          <w:color w:val="000000"/>
          <w:sz w:val="24"/>
        </w:rPr>
        <w:t>Cận TRÊN = 0,067 → mô hình NHIỀU NHẤT cũng chỉ "Chấp nhận được" (&lt; 0,08), KHÔNG phải kém.</w:t>
      </w:r>
    </w:p>
    <w:p>
      <w:pPr>
        <w:pStyle w:val="ListBullet"/>
      </w:pPr>
      <w:r>
        <w:rPr>
          <w:i w:val="0"/>
          <w:color w:val="000000"/>
          <w:sz w:val="24"/>
        </w:rPr>
        <w:t>Width = 0,067 − 0,024 = 0,043 — KTC HẸP, độ chính xác CAO.</w:t>
      </w:r>
    </w:p>
    <w:p>
      <w:pPr>
        <w:pStyle w:val="ListBullet"/>
      </w:pPr>
      <w:r>
        <w:rPr>
          <w:i w:val="0"/>
          <w:color w:val="007030"/>
          <w:sz w:val="24"/>
        </w:rPr>
        <w:t>⚠ Cận trên 0,067 chưa vượt 0,08 → MÔ HÌNH HỖ TRỢ. ✓ Đây là một KTC RMSEA ĐẸP.</w:t>
      </w:r>
    </w:p>
    <w:p>
      <w:r>
        <w:rPr>
          <w:b/>
          <w:color w:val="1F497D"/>
          <w:sz w:val="28"/>
        </w:rPr>
        <w:t>4. KIỂM TRA KÈM THEO — pclose</w:t>
      </w:r>
    </w:p>
    <w:p>
      <w:r>
        <w:rPr>
          <w:b w:val="0"/>
          <w:i w:val="0"/>
          <w:color w:val="000000"/>
          <w:sz w:val="24"/>
        </w:rPr>
        <w:t>Khi xem RMSEA, nên kiểm tra thêm chỉ số "pclose" hoặc "p of Close Fit":</w:t>
      </w:r>
    </w:p>
    <w:p>
      <w:pPr>
        <w:pStyle w:val="ListBullet"/>
      </w:pPr>
      <w:r>
        <w:rPr>
          <w:i w:val="0"/>
          <w:color w:val="000000"/>
          <w:sz w:val="24"/>
        </w:rPr>
        <w:t>pclose = xác suất RMSEA ≤ 0,05 (close fit).</w:t>
      </w:r>
    </w:p>
    <w:p>
      <w:pPr>
        <w:pStyle w:val="ListBullet"/>
      </w:pPr>
      <w:r>
        <w:rPr>
          <w:i w:val="0"/>
          <w:color w:val="000000"/>
          <w:sz w:val="24"/>
        </w:rPr>
        <w:t>Nếu pclose &gt; 0,50 → mô hình close fit (rất tốt).</w:t>
      </w:r>
    </w:p>
    <w:p>
      <w:pPr>
        <w:pStyle w:val="ListBullet"/>
      </w:pPr>
      <w:r>
        <w:rPr>
          <w:i w:val="0"/>
          <w:color w:val="000000"/>
          <w:sz w:val="24"/>
        </w:rPr>
        <w:t>Nếu pclose &lt; 0,05 → bác bỏ giả thuyết close fit (mô hình không phù hợp tốt).</w:t>
      </w:r>
    </w:p>
    <w:p>
      <w:pPr>
        <w:pStyle w:val="ListBullet"/>
      </w:pPr>
      <w:r>
        <w:rPr>
          <w:i w:val="0"/>
          <w:color w:val="000000"/>
          <w:sz w:val="24"/>
        </w:rPr>
        <w:t>Với RMSEA 0,024–0,067, pclose có thể ~ 0,3–0,7 tùy n. Đây là chấp nhận được.</w:t>
      </w:r>
    </w:p>
    <w:p>
      <w:r>
        <w:rPr>
          <w:b/>
          <w:color w:val="1F497D"/>
          <w:sz w:val="28"/>
        </w:rPr>
        <w:t>5. CẢNH BÁO QUAN TRỌNG</w:t>
      </w:r>
    </w:p>
    <w:p>
      <w:pPr>
        <w:pStyle w:val="ListBullet"/>
      </w:pPr>
      <w:r>
        <w:rPr>
          <w:i w:val="0"/>
          <w:color w:val="000000"/>
          <w:sz w:val="24"/>
        </w:rPr>
        <w:t>KTC 90% CHỈ ÁP DỤNG cho RMSEA. Các chỉ số khác (CFI, TLI, SRMR) KHÔNG có KTC truyền thống.</w:t>
      </w:r>
    </w:p>
    <w:p>
      <w:pPr>
        <w:pStyle w:val="ListBullet"/>
      </w:pPr>
      <w:r>
        <w:rPr>
          <w:i w:val="0"/>
          <w:color w:val="000000"/>
          <w:sz w:val="24"/>
        </w:rPr>
        <w:t>Nếu thầy gặp KTC 90% cho OR, RR, β, r → đó KHÔNG chuẩn (chuẩn là KTC 95%). Đây là điểm em đã nói trong doc QT021 Brunborg.</w:t>
      </w:r>
    </w:p>
    <w:p>
      <w:pPr>
        <w:pStyle w:val="ListBullet"/>
      </w:pPr>
      <w:r>
        <w:rPr>
          <w:i w:val="0"/>
          <w:color w:val="000000"/>
          <w:sz w:val="24"/>
        </w:rPr>
        <w:t>NHƯNG cho RMSEA → KTC 90% là ĐÚNG. Đây là ngoại lệ duy nhất trong y văn được sự đồng thuận.</w:t>
      </w:r>
    </w:p>
    <w:p>
      <w:r>
        <w:rPr>
          <w:b/>
          <w:color w:val="1F497D"/>
          <w:sz w:val="28"/>
        </w:rPr>
        <w:t>6. CÁCH BÁO CÁO CHUẨN APA 7</w:t>
      </w:r>
    </w:p>
    <w:p>
      <w:r>
        <w:rPr>
          <w:b/>
          <w:i w:val="0"/>
          <w:color w:val="000000"/>
          <w:sz w:val="24"/>
        </w:rPr>
        <w:t>Khi viết báo cáo CFA, format chuẩn:</w:t>
      </w:r>
    </w:p>
    <w:p>
      <w:r>
        <w:rPr>
          <w:b w:val="0"/>
          <w:i/>
          <w:color w:val="000000"/>
          <w:sz w:val="24"/>
        </w:rPr>
        <w:t>"Mô hình CFA cho thang [tên thang] đạt độ phù hợp tốt: χ²(df) = [giá trị], p &lt; 0,001; CFI = 0,xxx; TLI = 0,xxx; RMSEA = 0,xxx, KTC 90% [0,xxx – 0,xxx], pclose = 0,xxx; SRMR = 0,xxx."</w:t>
      </w:r>
    </w:p>
    <w:p>
      <w:r>
        <w:rPr>
          <w:b/>
          <w:i w:val="0"/>
          <w:color w:val="000000"/>
          <w:sz w:val="24"/>
        </w:rPr>
        <w:t>Áp dụng số liệu của thầy:</w:t>
      </w:r>
    </w:p>
    <w:p>
      <w:r>
        <w:rPr>
          <w:b w:val="0"/>
          <w:i/>
          <w:color w:val="007030"/>
          <w:sz w:val="24"/>
        </w:rPr>
        <w:t>"... RMSEA = [trung điểm ≈ 0,045], KTC 90% [0,024 – 0,067] — chỉ số này nằm trong vùng "tốt đến chấp nhận được", hỗ trợ cấu trúc mô hình."</w:t>
      </w:r>
    </w:p>
    <w:p>
      <w:r>
        <w:rPr>
          <w:b/>
          <w:color w:val="0070C0"/>
          <w:sz w:val="28"/>
        </w:rPr>
        <w:t>CÂU TRẢ LỜI</w:t>
      </w:r>
    </w:p>
    <w:p>
      <w:r>
        <w:rPr>
          <w:b/>
          <w:i w:val="0"/>
          <w:color w:val="0070C0"/>
          <w:sz w:val="24"/>
        </w:rPr>
        <w:t>CÓ — KTC 90% cho RMSEA là CHUẨN VÀNG quốc tế:</w:t>
      </w:r>
    </w:p>
    <w:p>
      <w:pPr>
        <w:pStyle w:val="ListBullet"/>
      </w:pPr>
      <w:r>
        <w:rPr>
          <w:i w:val="0"/>
          <w:color w:val="0070C0"/>
          <w:sz w:val="24"/>
        </w:rPr>
        <w:t>Browne &amp; Cudeck (1993) đề xuất KTC 90% — không phải 95% — vì RMSEA dùng phân phối non-central chi-square và chỉ kiểm tra cận trên.</w:t>
      </w:r>
    </w:p>
    <w:p>
      <w:pPr>
        <w:pStyle w:val="ListBullet"/>
      </w:pPr>
      <w:r>
        <w:rPr>
          <w:i w:val="0"/>
          <w:color w:val="0070C0"/>
          <w:sz w:val="24"/>
        </w:rPr>
        <w:t>Mọi phần mềm SEM (AMOS, Mplus, lavaan R) mặc định xuất KTC 90% cho RMSEA.</w:t>
      </w:r>
    </w:p>
    <w:p>
      <w:r>
        <w:rPr>
          <w:b/>
          <w:i w:val="0"/>
          <w:color w:val="0070C0"/>
          <w:sz w:val="24"/>
        </w:rPr>
        <w:t>KTC 0,024 – 0,067 cụ thể:</w:t>
      </w:r>
    </w:p>
    <w:p>
      <w:pPr>
        <w:pStyle w:val="ListBullet"/>
      </w:pPr>
      <w:r>
        <w:rPr>
          <w:i w:val="0"/>
          <w:color w:val="0070C0"/>
          <w:sz w:val="24"/>
        </w:rPr>
        <w:t>Cận dưới 0,024 → mô hình ÍT NHẤT có fit "tốt" (good).</w:t>
      </w:r>
    </w:p>
    <w:p>
      <w:pPr>
        <w:pStyle w:val="ListBullet"/>
      </w:pPr>
      <w:r>
        <w:rPr>
          <w:i w:val="0"/>
          <w:color w:val="0070C0"/>
          <w:sz w:val="24"/>
        </w:rPr>
        <w:t>Cận trên 0,067 → mô hình NHIỀU NHẤT cũng chỉ "chấp nhận được", KHÔNG vượt 0,08 (poor).</w:t>
      </w:r>
    </w:p>
    <w:p>
      <w:pPr>
        <w:pStyle w:val="ListBullet"/>
      </w:pPr>
      <w:r>
        <w:rPr>
          <w:i w:val="0"/>
          <w:color w:val="0070C0"/>
          <w:sz w:val="24"/>
        </w:rPr>
        <w:t>Width 0,043 — KTC HẸP, độ chính xác cao.</w:t>
      </w:r>
    </w:p>
    <w:p>
      <w:pPr>
        <w:pStyle w:val="ListBullet"/>
      </w:pPr>
      <w:r>
        <w:rPr>
          <w:i w:val="0"/>
          <w:color w:val="0070C0"/>
          <w:sz w:val="24"/>
        </w:rPr>
        <w:t>✓ Đây là một KTC RMSEA ĐẸP, hỗ trợ mô hình tốt.</w:t>
      </w:r>
    </w:p>
    <w:p>
      <w:r>
        <w:rPr>
          <w:b/>
          <w:i w:val="0"/>
          <w:color w:val="0070C0"/>
          <w:sz w:val="24"/>
        </w:rPr>
        <w:t>Lưu ý chung:</w:t>
      </w:r>
    </w:p>
    <w:p>
      <w:pPr>
        <w:pStyle w:val="ListBullet"/>
      </w:pPr>
      <w:r>
        <w:rPr>
          <w:i w:val="0"/>
          <w:color w:val="0070C0"/>
          <w:sz w:val="24"/>
        </w:rPr>
        <w:t>KTC 90% chỉ ĐÚNG cho RMSEA — đây là ngoại lệ duy nhất.</w:t>
      </w:r>
    </w:p>
    <w:p>
      <w:pPr>
        <w:pStyle w:val="ListBullet"/>
      </w:pPr>
      <w:r>
        <w:rPr>
          <w:i w:val="0"/>
          <w:color w:val="0070C0"/>
          <w:sz w:val="24"/>
        </w:rPr>
        <w:t>Cho mọi chỉ số khác (OR, RR, β, r) → KTC 95% mới đúng. Nếu thấy KTC 90% cho OR → cảnh báo.</w:t>
      </w:r>
    </w:p>
    <w:p>
      <w:r>
        <w:rPr>
          <w:b/>
          <w:color w:val="1F497D"/>
          <w:sz w:val="28"/>
        </w:rPr>
        <w:t>Phụ lục — Tài liệu tham khảo</w:t>
      </w:r>
    </w:p>
    <w:p>
      <w:r>
        <w:rPr>
          <w:b w:val="0"/>
          <w:i/>
          <w:color w:val="000000"/>
          <w:sz w:val="22"/>
        </w:rPr>
        <w:t>1. Browne, M. W., &amp; Cudeck, R. (1993). Alternative ways of assessing model fit. In K. A. Bollen &amp; J. S. Long (Eds.), Testing structural equation models (pp. 136–162). SAGE. — Bài KINH ĐIỂN đặt nền cho RMSEA + KTC 90%.</w:t>
      </w:r>
    </w:p>
    <w:p>
      <w:r>
        <w:rPr>
          <w:b w:val="0"/>
          <w:i/>
          <w:color w:val="000000"/>
          <w:sz w:val="22"/>
        </w:rPr>
        <w:t>2. Hu, L., &amp; Bentler, P. M. (1999). Cutoff criteria for fit indexes in covariance structure analysis. Structural Equation Modeling, 6(1), 1–55. https://doi.org/10.1080/10705519909540118 — Ngưỡng cắt RMSEA &lt; 0,06 (tốt) / &lt; 0,08 (chấp nhận).</w:t>
      </w:r>
    </w:p>
    <w:p>
      <w:r>
        <w:rPr>
          <w:b w:val="0"/>
          <w:i/>
          <w:color w:val="000000"/>
          <w:sz w:val="22"/>
        </w:rPr>
        <w:t>3. MacCallum, R. C., Browne, M. W., &amp; Sugawara, H. M. (1996). Power analysis and determination of sample size for covariance structure modeling. Psychological Methods, 1(2), 130–149. https://doi.org/10.1037/1082-989X.1.2.130 — Phân loại close fit / RMSEA ≤ 0,05.</w:t>
      </w:r>
    </w:p>
    <w:p>
      <w:r>
        <w:rPr>
          <w:b w:val="0"/>
          <w:i/>
          <w:color w:val="000000"/>
          <w:sz w:val="22"/>
        </w:rPr>
        <w:t>4. Kenny, D. A., Kaniskan, B., &amp; McCoach, D. B. (2015). The performance of RMSEA in models with small degrees of freedom. Sociological Methods &amp; Research, 44(3), 486–507. https://doi.org/10.1177/0049124114543236 — Cảnh báo RMSEA bị "phóng đại" với df nhỏ.</w:t>
      </w:r>
    </w:p>
    <w:p>
      <w:r>
        <w:rPr>
          <w:b w:val="0"/>
          <w:i/>
          <w:color w:val="000000"/>
          <w:sz w:val="22"/>
        </w:rPr>
        <w:t>5. Steiger, J. H. (1990). Structural model evaluation and modification: An interval estimation approach. Multivariate Behavioral Research, 25(2), 173–180. https://doi.org/10.1207/s15327906mbr2502_4 — Một trong những người sáng tạo RMSEA.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