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color w:val="003366"/>
          <w:sz w:val="32"/>
        </w:rPr>
        <w:t>BÁO CÁO TỔNG HỢP</w:t>
        <w:br/>
        <w:t>11 BÀI NGHIÊN CỨU VỀ LO ÂU Ở HỌC SINH THCS VÀ THPT</w:t>
        <w:br/>
        <w:t>(Việt Nam – Đông Nam Á – Thế giới, 2024–2026)</w:t>
      </w:r>
    </w:p>
    <w:p>
      <w:r>
        <w:rPr>
          <w:rFonts w:ascii="Times New Roman" w:hAnsi="Times New Roman"/>
          <w:i/>
          <w:sz w:val="22"/>
        </w:rPr>
        <w:t>Ngày báo cáo: 27/03/2026. Nguồn: các bài nghiên cứu từ 2024 đến nay trên PubMed, Frontiers, PLOS ONE, Springer, ScienceDirect.</w:t>
      </w:r>
    </w:p>
    <w:p/>
    <w:p>
      <w:pPr>
        <w:pStyle w:val="Heading1"/>
      </w:pPr>
      <w:r>
        <w:rPr>
          <w:rFonts w:ascii="Times New Roman" w:hAnsi="Times New Roman"/>
          <w:color w:val="000000"/>
        </w:rPr>
        <w:t>PHẦN A: CÁC NGHIÊN CỨU TẠI VIỆT NAM</w:t>
      </w:r>
    </w:p>
    <w:p>
      <w:pPr>
        <w:pStyle w:val="Heading2"/>
      </w:pPr>
      <w:r>
        <w:rPr>
          <w:rFonts w:ascii="Times New Roman" w:hAnsi="Times New Roman"/>
          <w:color w:val="000000"/>
        </w:rPr>
        <w:t>Bài 1: Phạm Thị Thu Hoa và cs. (2024) — Lo âu và chiến lược ứng phó ở HS THPT Hà Nội sau COVID-19</w:t>
      </w:r>
    </w:p>
    <w:tbl>
      <w:tblPr>
        <w:tblStyle w:val="TableGrid"/>
        <w:tblW w:type="auto" w:w="0"/>
        <w:jc w:val="center"/>
        <w:tblLook w:firstColumn="1" w:firstRow="1" w:lastColumn="0" w:lastRow="0" w:noHBand="0" w:noVBand="1" w:val="04A0"/>
      </w:tblPr>
      <w:tblGrid>
        <w:gridCol w:w="4702"/>
        <w:gridCol w:w="4702"/>
      </w:tblGrid>
      <w:tr>
        <w:tc>
          <w:tcPr>
            <w:tcW w:type="dxa" w:w="1701"/>
            <w:shd w:fill="D9E2F3" w:val="clear"/>
          </w:tcPr>
          <w:p>
            <w:r>
              <w:rPr>
                <w:rFonts w:ascii="Times New Roman" w:hAnsi="Times New Roman"/>
                <w:b/>
                <w:sz w:val="22"/>
              </w:rPr>
              <w:t>Tác giả</w:t>
            </w:r>
          </w:p>
        </w:tc>
        <w:tc>
          <w:tcPr>
            <w:tcW w:type="dxa" w:w="7370"/>
          </w:tcPr>
          <w:p>
            <w:r>
              <w:rPr>
                <w:rFonts w:ascii="Times New Roman" w:hAnsi="Times New Roman"/>
                <w:sz w:val="22"/>
              </w:rPr>
              <w:t>Phạm Thị Thu Hoa, Đỗ Thị Trang, Nguyễn Thị Liên, Ngô Anh Vinh</w:t>
            </w:r>
          </w:p>
        </w:tc>
      </w:tr>
      <w:tr>
        <w:tc>
          <w:tcPr>
            <w:tcW w:type="dxa" w:w="1701"/>
            <w:shd w:fill="D9E2F3" w:val="clear"/>
          </w:tcPr>
          <w:p>
            <w:r>
              <w:rPr>
                <w:rFonts w:ascii="Times New Roman" w:hAnsi="Times New Roman"/>
                <w:b/>
                <w:sz w:val="22"/>
              </w:rPr>
              <w:t>Tạp chí</w:t>
            </w:r>
          </w:p>
        </w:tc>
        <w:tc>
          <w:tcPr>
            <w:tcW w:type="dxa" w:w="7370"/>
          </w:tcPr>
          <w:p>
            <w:r>
              <w:rPr>
                <w:rFonts w:ascii="Times New Roman" w:hAnsi="Times New Roman"/>
                <w:sz w:val="22"/>
              </w:rPr>
              <w:t>Frontiers in Public Health (IF ≈ 5.2)</w:t>
            </w:r>
          </w:p>
        </w:tc>
      </w:tr>
      <w:tr>
        <w:tc>
          <w:tcPr>
            <w:tcW w:type="dxa" w:w="1701"/>
            <w:shd w:fill="D9E2F3" w:val="clear"/>
          </w:tcPr>
          <w:p>
            <w:r>
              <w:rPr>
                <w:rFonts w:ascii="Times New Roman" w:hAnsi="Times New Roman"/>
                <w:b/>
                <w:sz w:val="22"/>
              </w:rPr>
              <w:t>Năm</w:t>
            </w:r>
          </w:p>
        </w:tc>
        <w:tc>
          <w:tcPr>
            <w:tcW w:type="dxa" w:w="7370"/>
          </w:tcPr>
          <w:p>
            <w:r>
              <w:rPr>
                <w:rFonts w:ascii="Times New Roman" w:hAnsi="Times New Roman"/>
                <w:sz w:val="22"/>
              </w:rPr>
              <w:t>2024</w:t>
            </w:r>
          </w:p>
        </w:tc>
      </w:tr>
      <w:tr>
        <w:tc>
          <w:tcPr>
            <w:tcW w:type="dxa" w:w="1701"/>
            <w:shd w:fill="D9E2F3" w:val="clear"/>
          </w:tcPr>
          <w:p>
            <w:r>
              <w:rPr>
                <w:rFonts w:ascii="Times New Roman" w:hAnsi="Times New Roman"/>
                <w:b/>
                <w:sz w:val="22"/>
              </w:rPr>
              <w:t>Mẫu</w:t>
            </w:r>
          </w:p>
        </w:tc>
        <w:tc>
          <w:tcPr>
            <w:tcW w:type="dxa" w:w="7370"/>
          </w:tcPr>
          <w:p>
            <w:r>
              <w:rPr>
                <w:rFonts w:ascii="Times New Roman" w:hAnsi="Times New Roman"/>
                <w:sz w:val="22"/>
              </w:rPr>
              <w:t>3.910 học sinh THPT tại 13 trường ở Hà Nội</w:t>
            </w:r>
          </w:p>
        </w:tc>
      </w:tr>
      <w:tr>
        <w:tc>
          <w:tcPr>
            <w:tcW w:type="dxa" w:w="1701"/>
            <w:shd w:fill="D9E2F3" w:val="clear"/>
          </w:tcPr>
          <w:p>
            <w:r>
              <w:rPr>
                <w:rFonts w:ascii="Times New Roman" w:hAnsi="Times New Roman"/>
                <w:b/>
                <w:sz w:val="22"/>
              </w:rPr>
              <w:t>Công cụ</w:t>
            </w:r>
          </w:p>
        </w:tc>
        <w:tc>
          <w:tcPr>
            <w:tcW w:type="dxa" w:w="7370"/>
          </w:tcPr>
          <w:p>
            <w:r>
              <w:rPr>
                <w:rFonts w:ascii="Times New Roman" w:hAnsi="Times New Roman"/>
                <w:sz w:val="22"/>
              </w:rPr>
              <w:t>GAD-7 (Cronbach α = 0,916); phỏng vấn sâu 20 HS</w:t>
            </w:r>
          </w:p>
        </w:tc>
      </w:tr>
      <w:tr>
        <w:tc>
          <w:tcPr>
            <w:tcW w:type="dxa" w:w="1701"/>
            <w:shd w:fill="D9E2F3" w:val="clear"/>
          </w:tcPr>
          <w:p>
            <w:r>
              <w:rPr>
                <w:rFonts w:ascii="Times New Roman" w:hAnsi="Times New Roman"/>
                <w:b/>
                <w:sz w:val="22"/>
              </w:rPr>
              <w:t>Thiết kế</w:t>
            </w:r>
          </w:p>
        </w:tc>
        <w:tc>
          <w:tcPr>
            <w:tcW w:type="dxa" w:w="7370"/>
          </w:tcPr>
          <w:p>
            <w:r>
              <w:rPr>
                <w:rFonts w:ascii="Times New Roman" w:hAnsi="Times New Roman"/>
                <w:sz w:val="22"/>
              </w:rPr>
              <w:t>Nghiên cứu hỗn hợp (cắt ngang + định tính)</w:t>
            </w:r>
          </w:p>
        </w:tc>
      </w:tr>
    </w:tbl>
    <w:p/>
    <w:p>
      <w:r>
        <w:rPr>
          <w:rFonts w:ascii="Times New Roman" w:hAnsi="Times New Roman"/>
          <w:b/>
          <w:sz w:val="24"/>
        </w:rPr>
        <w:t>Phương pháp</w:t>
      </w:r>
    </w:p>
    <w:p>
      <w:r>
        <w:rPr>
          <w:rFonts w:ascii="Times New Roman" w:hAnsi="Times New Roman"/>
          <w:sz w:val="24"/>
        </w:rPr>
        <w:t>Nghiên cứu sử dụng phương pháp hỗn hợp, kết hợp khảo sát cắt ngang trên 3.910 học sinh THPT tại 13 trường ở Hà Nội (tháng 10–11/2021) với phỏng vấn sâu qua điện thoại cho 20 học sinh. Công cụ đo lo âu là thang GAD-7 với 7 câu hỏi, điểm 0–21. Thang đạt độ tin cậy cao với Cronbach α = 0,916. Dữ liệu phân tích bằng SPSS 20.0, mức ý nghĩa p ≤ 0,05.</w:t>
      </w:r>
    </w:p>
    <w:p>
      <w:r>
        <w:rPr>
          <w:rFonts w:ascii="Times New Roman" w:hAnsi="Times New Roman"/>
          <w:b/>
          <w:sz w:val="24"/>
        </w:rPr>
        <w:t>Kết quả chính</w:t>
      </w:r>
    </w:p>
    <w:p>
      <w:r>
        <w:rPr>
          <w:rFonts w:ascii="Times New Roman" w:hAnsi="Times New Roman"/>
          <w:sz w:val="24"/>
        </w:rPr>
        <w:t>Tỷ lệ học sinh có triệu chứng lo âu tổng thể đạt 40,6%. Trong đó, lo âu nhẹ chiếm 23,9%, trung bình 10,9%, và nặng 5,8%. Triệu chứng phổ biến nhất là "dễ cáu gắt, khó chịu" (mean = 1,01), tiếp theo là "lo lắng quá mức về nhiều vấn đề" (mean = 0,96) và "cảm thấy bồn chồn, lo lắng" (mean = 0,89).</w:t>
      </w:r>
    </w:p>
    <w:p>
      <w:r>
        <w:rPr>
          <w:rFonts w:ascii="Times New Roman" w:hAnsi="Times New Roman"/>
          <w:sz w:val="24"/>
        </w:rPr>
        <w:t>Có sự khác biệt có ý nghĩa thống kê theo giới tính, vị trí địa lý, và khối lớp (p &lt; 0,05). Phân tích định tính cho thấy các nguồn lo âu chính gồm: áp lực học tập, mối quan hệ xã hội, kỳ thị từ bạn bè, và kỳ vọng gia đình.</w:t>
      </w:r>
    </w:p>
    <w:p/>
    <w:p>
      <w:pPr>
        <w:pStyle w:val="Heading2"/>
      </w:pPr>
      <w:r>
        <w:rPr>
          <w:rFonts w:ascii="Times New Roman" w:hAnsi="Times New Roman"/>
          <w:color w:val="000000"/>
        </w:rPr>
        <w:t>Bài 2: Ngô Anh Vinh và cs. (2024) — SKTT ở HS dân tộc thiểu số tại Lạng Sơn</w:t>
      </w:r>
    </w:p>
    <w:tbl>
      <w:tblPr>
        <w:tblStyle w:val="TableGrid"/>
        <w:tblW w:type="auto" w:w="0"/>
        <w:jc w:val="center"/>
        <w:tblLook w:firstColumn="1" w:firstRow="1" w:lastColumn="0" w:lastRow="0" w:noHBand="0" w:noVBand="1" w:val="04A0"/>
      </w:tblPr>
      <w:tblGrid>
        <w:gridCol w:w="4702"/>
        <w:gridCol w:w="4702"/>
      </w:tblGrid>
      <w:tr>
        <w:tc>
          <w:tcPr>
            <w:tcW w:type="dxa" w:w="1701"/>
            <w:shd w:fill="D9E2F3" w:val="clear"/>
          </w:tcPr>
          <w:p>
            <w:r>
              <w:rPr>
                <w:rFonts w:ascii="Times New Roman" w:hAnsi="Times New Roman"/>
                <w:b/>
                <w:sz w:val="22"/>
              </w:rPr>
              <w:t>Tác giả</w:t>
            </w:r>
          </w:p>
        </w:tc>
        <w:tc>
          <w:tcPr>
            <w:tcW w:type="dxa" w:w="7370"/>
          </w:tcPr>
          <w:p>
            <w:r>
              <w:rPr>
                <w:rFonts w:ascii="Times New Roman" w:hAnsi="Times New Roman"/>
                <w:sz w:val="22"/>
              </w:rPr>
              <w:t>Ngô Anh Vinh, Vũ Thị Mỹ Hạnh, Đỗ Thị Bích Vân, Dương Anh Tài, Lê Thị Thanh Thùy</w:t>
            </w:r>
          </w:p>
        </w:tc>
      </w:tr>
      <w:tr>
        <w:tc>
          <w:tcPr>
            <w:tcW w:type="dxa" w:w="1701"/>
            <w:shd w:fill="D9E2F3" w:val="clear"/>
          </w:tcPr>
          <w:p>
            <w:r>
              <w:rPr>
                <w:rFonts w:ascii="Times New Roman" w:hAnsi="Times New Roman"/>
                <w:b/>
                <w:sz w:val="22"/>
              </w:rPr>
              <w:t>Tạp chí</w:t>
            </w:r>
          </w:p>
        </w:tc>
        <w:tc>
          <w:tcPr>
            <w:tcW w:type="dxa" w:w="7370"/>
          </w:tcPr>
          <w:p>
            <w:r>
              <w:rPr>
                <w:rFonts w:ascii="Times New Roman" w:hAnsi="Times New Roman"/>
                <w:sz w:val="22"/>
              </w:rPr>
              <w:t>Journal of Affective Disorders Reports (Elsevier)</w:t>
            </w:r>
          </w:p>
        </w:tc>
      </w:tr>
      <w:tr>
        <w:tc>
          <w:tcPr>
            <w:tcW w:type="dxa" w:w="1701"/>
            <w:shd w:fill="D9E2F3" w:val="clear"/>
          </w:tcPr>
          <w:p>
            <w:r>
              <w:rPr>
                <w:rFonts w:ascii="Times New Roman" w:hAnsi="Times New Roman"/>
                <w:b/>
                <w:sz w:val="22"/>
              </w:rPr>
              <w:t>Năm</w:t>
            </w:r>
          </w:p>
        </w:tc>
        <w:tc>
          <w:tcPr>
            <w:tcW w:type="dxa" w:w="7370"/>
          </w:tcPr>
          <w:p>
            <w:r>
              <w:rPr>
                <w:rFonts w:ascii="Times New Roman" w:hAnsi="Times New Roman"/>
                <w:sz w:val="22"/>
              </w:rPr>
              <w:t>2024 (Vol. 17)</w:t>
            </w:r>
          </w:p>
        </w:tc>
      </w:tr>
      <w:tr>
        <w:tc>
          <w:tcPr>
            <w:tcW w:type="dxa" w:w="1701"/>
            <w:shd w:fill="D9E2F3" w:val="clear"/>
          </w:tcPr>
          <w:p>
            <w:r>
              <w:rPr>
                <w:rFonts w:ascii="Times New Roman" w:hAnsi="Times New Roman"/>
                <w:b/>
                <w:sz w:val="22"/>
              </w:rPr>
              <w:t>Mẫu</w:t>
            </w:r>
          </w:p>
        </w:tc>
        <w:tc>
          <w:tcPr>
            <w:tcW w:type="dxa" w:w="7370"/>
          </w:tcPr>
          <w:p>
            <w:r>
              <w:rPr>
                <w:rFonts w:ascii="Times New Roman" w:hAnsi="Times New Roman"/>
                <w:sz w:val="22"/>
              </w:rPr>
              <w:t>845 học sinh nội trú dân tộc thiểu số tại Lạng Sơn</w:t>
            </w:r>
          </w:p>
        </w:tc>
      </w:tr>
      <w:tr>
        <w:tc>
          <w:tcPr>
            <w:tcW w:type="dxa" w:w="1701"/>
            <w:shd w:fill="D9E2F3" w:val="clear"/>
          </w:tcPr>
          <w:p>
            <w:r>
              <w:rPr>
                <w:rFonts w:ascii="Times New Roman" w:hAnsi="Times New Roman"/>
                <w:b/>
                <w:sz w:val="22"/>
              </w:rPr>
              <w:t>Công cụ</w:t>
            </w:r>
          </w:p>
        </w:tc>
        <w:tc>
          <w:tcPr>
            <w:tcW w:type="dxa" w:w="7370"/>
          </w:tcPr>
          <w:p>
            <w:r>
              <w:rPr>
                <w:rFonts w:ascii="Times New Roman" w:hAnsi="Times New Roman"/>
                <w:sz w:val="22"/>
              </w:rPr>
              <w:t>DASS-21; Bảng hỏi ACEs (trải nghiệm bất lợi thời thơ ấu)</w:t>
            </w:r>
          </w:p>
        </w:tc>
      </w:tr>
      <w:tr>
        <w:tc>
          <w:tcPr>
            <w:tcW w:type="dxa" w:w="1701"/>
            <w:shd w:fill="D9E2F3" w:val="clear"/>
          </w:tcPr>
          <w:p>
            <w:r>
              <w:rPr>
                <w:rFonts w:ascii="Times New Roman" w:hAnsi="Times New Roman"/>
                <w:b/>
                <w:sz w:val="22"/>
              </w:rPr>
              <w:t>Thiết kế</w:t>
            </w:r>
          </w:p>
        </w:tc>
        <w:tc>
          <w:tcPr>
            <w:tcW w:type="dxa" w:w="7370"/>
          </w:tcPr>
          <w:p>
            <w:r>
              <w:rPr>
                <w:rFonts w:ascii="Times New Roman" w:hAnsi="Times New Roman"/>
                <w:sz w:val="22"/>
              </w:rPr>
              <w:t>Nghiên cứu cắt ngang</w:t>
            </w:r>
          </w:p>
        </w:tc>
      </w:tr>
    </w:tbl>
    <w:p/>
    <w:p>
      <w:r>
        <w:rPr>
          <w:rFonts w:ascii="Times New Roman" w:hAnsi="Times New Roman"/>
          <w:b/>
          <w:sz w:val="24"/>
        </w:rPr>
        <w:t>Phương pháp</w:t>
      </w:r>
    </w:p>
    <w:p>
      <w:r>
        <w:rPr>
          <w:rFonts w:ascii="Times New Roman" w:hAnsi="Times New Roman"/>
          <w:sz w:val="24"/>
        </w:rPr>
        <w:t>Nghiên cứu cắt ngang trên 845 học sinh nội trú tại các trường dân tộc thiểu số ở Lạng Sơn. Sử dụng thang DASS-21 đo trầm cảm, lo âu, căng thẳng và Bảng hỏi ACEs đo trải nghiệm bất lợi thời thơ ấu. Phân tích bằng hồi quy logistic đa biến và hồi quy Tobit.</w:t>
      </w:r>
    </w:p>
    <w:p>
      <w:r>
        <w:rPr>
          <w:rFonts w:ascii="Times New Roman" w:hAnsi="Times New Roman"/>
          <w:b/>
          <w:sz w:val="24"/>
        </w:rPr>
        <w:t>Kết quả chính</w:t>
      </w:r>
    </w:p>
    <w:p>
      <w:r>
        <w:rPr>
          <w:rFonts w:ascii="Times New Roman" w:hAnsi="Times New Roman"/>
          <w:sz w:val="24"/>
        </w:rPr>
        <w:t>Tỷ lệ vấn đề sức khỏe tâm thần rất cao: lo âu 54,4%, trầm cảm 59,0%, căng thẳng 24,7%. Có 48,9% học sinh từng trải qua ít nhất 1 trải nghiệm bất lợi thời thơ ấu (ACEs), trung bình 1,1 ACEs. Số lượng ACEs tương quan dương với điểm lo âu (hệ số = 0,28), căng thẳng (0,28) và trầm cảm (0,16).</w:t>
      </w:r>
    </w:p>
    <w:p>
      <w:r>
        <w:rPr>
          <w:rFonts w:ascii="Times New Roman" w:hAnsi="Times New Roman"/>
          <w:sz w:val="24"/>
        </w:rPr>
        <w:t>Mối quan hệ bạn bè kém có liên quan đáng kể đến lo âu, căng thẳng và trầm cảm gia tăng. Sử dụng internet hàng ngày hoặc không sử dụng có điểm lo âu thấp hơn so với nhóm chỉ dùng cuối tuần. Nguồn thông tin từ bạn bè và truyền hình có mối liên hệ nghịch với căng thẳng và lo âu.</w:t>
      </w:r>
    </w:p>
    <w:p/>
    <w:p>
      <w:pPr>
        <w:pStyle w:val="Heading2"/>
      </w:pPr>
      <w:r>
        <w:rPr>
          <w:rFonts w:ascii="Times New Roman" w:hAnsi="Times New Roman"/>
          <w:color w:val="000000"/>
        </w:rPr>
        <w:t>Bài 3: Trần Thảo Vi và cs. (2024) — Căng thẳng học tập ở HS THCS tại Huế: nghiên cứu dọc 3 năm</w:t>
      </w:r>
    </w:p>
    <w:tbl>
      <w:tblPr>
        <w:tblStyle w:val="TableGrid"/>
        <w:tblW w:type="auto" w:w="0"/>
        <w:jc w:val="center"/>
        <w:tblLook w:firstColumn="1" w:firstRow="1" w:lastColumn="0" w:lastRow="0" w:noHBand="0" w:noVBand="1" w:val="04A0"/>
      </w:tblPr>
      <w:tblGrid>
        <w:gridCol w:w="4702"/>
        <w:gridCol w:w="4702"/>
      </w:tblGrid>
      <w:tr>
        <w:tc>
          <w:tcPr>
            <w:tcW w:type="dxa" w:w="1701"/>
            <w:shd w:fill="D9E2F3" w:val="clear"/>
          </w:tcPr>
          <w:p>
            <w:r>
              <w:rPr>
                <w:rFonts w:ascii="Times New Roman" w:hAnsi="Times New Roman"/>
                <w:b/>
                <w:sz w:val="22"/>
              </w:rPr>
              <w:t>Tác giả</w:t>
            </w:r>
          </w:p>
        </w:tc>
        <w:tc>
          <w:tcPr>
            <w:tcW w:type="dxa" w:w="7370"/>
          </w:tcPr>
          <w:p>
            <w:r>
              <w:rPr>
                <w:rFonts w:ascii="Times New Roman" w:hAnsi="Times New Roman"/>
                <w:sz w:val="22"/>
              </w:rPr>
              <w:t>Trần Thảo Vi (ĐH Y khoa Tokyo &amp; ĐH Y Dược Huế) và cộng sự</w:t>
            </w:r>
          </w:p>
        </w:tc>
      </w:tr>
      <w:tr>
        <w:tc>
          <w:tcPr>
            <w:tcW w:type="dxa" w:w="1701"/>
            <w:shd w:fill="D9E2F3" w:val="clear"/>
          </w:tcPr>
          <w:p>
            <w:r>
              <w:rPr>
                <w:rFonts w:ascii="Times New Roman" w:hAnsi="Times New Roman"/>
                <w:b/>
                <w:sz w:val="22"/>
              </w:rPr>
              <w:t>Tạp chí</w:t>
            </w:r>
          </w:p>
        </w:tc>
        <w:tc>
          <w:tcPr>
            <w:tcW w:type="dxa" w:w="7370"/>
          </w:tcPr>
          <w:p>
            <w:r>
              <w:rPr>
                <w:rFonts w:ascii="Times New Roman" w:hAnsi="Times New Roman"/>
                <w:sz w:val="22"/>
              </w:rPr>
              <w:t>Journal of Rural Medicine (IF ≈ 1.0)</w:t>
            </w:r>
          </w:p>
        </w:tc>
      </w:tr>
      <w:tr>
        <w:tc>
          <w:tcPr>
            <w:tcW w:type="dxa" w:w="1701"/>
            <w:shd w:fill="D9E2F3" w:val="clear"/>
          </w:tcPr>
          <w:p>
            <w:r>
              <w:rPr>
                <w:rFonts w:ascii="Times New Roman" w:hAnsi="Times New Roman"/>
                <w:b/>
                <w:sz w:val="22"/>
              </w:rPr>
              <w:t>Năm</w:t>
            </w:r>
          </w:p>
        </w:tc>
        <w:tc>
          <w:tcPr>
            <w:tcW w:type="dxa" w:w="7370"/>
          </w:tcPr>
          <w:p>
            <w:r>
              <w:rPr>
                <w:rFonts w:ascii="Times New Roman" w:hAnsi="Times New Roman"/>
                <w:sz w:val="22"/>
              </w:rPr>
              <w:t>2024 (Vol. 19, No. 4, pp. 279–290)</w:t>
            </w:r>
          </w:p>
        </w:tc>
      </w:tr>
      <w:tr>
        <w:tc>
          <w:tcPr>
            <w:tcW w:type="dxa" w:w="1701"/>
            <w:shd w:fill="D9E2F3" w:val="clear"/>
          </w:tcPr>
          <w:p>
            <w:r>
              <w:rPr>
                <w:rFonts w:ascii="Times New Roman" w:hAnsi="Times New Roman"/>
                <w:b/>
                <w:sz w:val="22"/>
              </w:rPr>
              <w:t>Mẫu</w:t>
            </w:r>
          </w:p>
        </w:tc>
        <w:tc>
          <w:tcPr>
            <w:tcW w:type="dxa" w:w="7370"/>
          </w:tcPr>
          <w:p>
            <w:r>
              <w:rPr>
                <w:rFonts w:ascii="Times New Roman" w:hAnsi="Times New Roman"/>
                <w:sz w:val="22"/>
              </w:rPr>
              <w:t>611 HS lớp 6 → theo dõi đến lớp 9 (341 HS hoàn thành); 4 trường THCS tại Huế</w:t>
            </w:r>
          </w:p>
        </w:tc>
      </w:tr>
      <w:tr>
        <w:tc>
          <w:tcPr>
            <w:tcW w:type="dxa" w:w="1701"/>
            <w:shd w:fill="D9E2F3" w:val="clear"/>
          </w:tcPr>
          <w:p>
            <w:r>
              <w:rPr>
                <w:rFonts w:ascii="Times New Roman" w:hAnsi="Times New Roman"/>
                <w:b/>
                <w:sz w:val="22"/>
              </w:rPr>
              <w:t>Công cụ</w:t>
            </w:r>
          </w:p>
        </w:tc>
        <w:tc>
          <w:tcPr>
            <w:tcW w:type="dxa" w:w="7370"/>
          </w:tcPr>
          <w:p>
            <w:r>
              <w:rPr>
                <w:rFonts w:ascii="Times New Roman" w:hAnsi="Times New Roman"/>
                <w:sz w:val="22"/>
              </w:rPr>
              <w:t>ESSA (Educational Stress Scale for Adolescents) – 16 câu, 5 miền</w:t>
            </w:r>
          </w:p>
        </w:tc>
      </w:tr>
      <w:tr>
        <w:tc>
          <w:tcPr>
            <w:tcW w:type="dxa" w:w="1701"/>
            <w:shd w:fill="D9E2F3" w:val="clear"/>
          </w:tcPr>
          <w:p>
            <w:r>
              <w:rPr>
                <w:rFonts w:ascii="Times New Roman" w:hAnsi="Times New Roman"/>
                <w:b/>
                <w:sz w:val="22"/>
              </w:rPr>
              <w:t>Thiết kế</w:t>
            </w:r>
          </w:p>
        </w:tc>
        <w:tc>
          <w:tcPr>
            <w:tcW w:type="dxa" w:w="7370"/>
          </w:tcPr>
          <w:p>
            <w:r>
              <w:rPr>
                <w:rFonts w:ascii="Times New Roman" w:hAnsi="Times New Roman"/>
                <w:sz w:val="22"/>
              </w:rPr>
              <w:t>Nghiên cứu dọc (longitudinal cohort) 2018–2021</w:t>
            </w:r>
          </w:p>
        </w:tc>
      </w:tr>
    </w:tbl>
    <w:p/>
    <w:p>
      <w:r>
        <w:rPr>
          <w:rFonts w:ascii="Times New Roman" w:hAnsi="Times New Roman"/>
          <w:b/>
          <w:sz w:val="24"/>
        </w:rPr>
        <w:t>Phương pháp</w:t>
      </w:r>
    </w:p>
    <w:p>
      <w:r>
        <w:rPr>
          <w:rFonts w:ascii="Times New Roman" w:hAnsi="Times New Roman"/>
          <w:sz w:val="24"/>
        </w:rPr>
        <w:t>Nghiên cứu dọc 3 năm (2018–2021) theo dõi 611 học sinh lớp 6 tại 4 trường THCS ở Huế đến lớp 9 (341 HS hoàn thành). Sử dụng thang ESSA gồm 16 câu hỏi thuộc 5 miền: áp lực học tập, lo lắng về điểm, chán nản, kỳ vọng bản thân, và khối lượng công việc. Phân tích bằng hồi quy tuyến tính.</w:t>
      </w:r>
    </w:p>
    <w:p>
      <w:r>
        <w:rPr>
          <w:rFonts w:ascii="Times New Roman" w:hAnsi="Times New Roman"/>
          <w:b/>
          <w:sz w:val="24"/>
        </w:rPr>
        <w:t>Kết quả chính</w:t>
      </w:r>
    </w:p>
    <w:p>
      <w:r>
        <w:rPr>
          <w:rFonts w:ascii="Times New Roman" w:hAnsi="Times New Roman"/>
          <w:sz w:val="24"/>
        </w:rPr>
        <w:t>Điểm ESSA tăng đáng kể từ 46,4 ± 7,6 (2018) lên 53,5 ± 10,8 (2021), cho thấy căng thẳng học tập gia tăng rõ rệt theo thời gian. Giới tính nữ có điểm cao hơn nam (β = −2,85 cho nam). Số anh chị em nhiều hơn (β = 2,24), trình độ học vấn cha cao (β = 3,20), điểm học thấp (β = −1,79), và học thêm (β = 4,73) đều liên quan đến căng thẳng cao hơn.</w:t>
      </w:r>
    </w:p>
    <w:p>
      <w:r>
        <w:rPr>
          <w:rFonts w:ascii="Times New Roman" w:hAnsi="Times New Roman"/>
          <w:sz w:val="24"/>
        </w:rPr>
        <w:t>Ngủ đủ 8 giờ trở lên có tác dụng bảo vệ, làm giảm điểm "chán nản". Hoạt động thể chất không có mối liên hệ có ý nghĩa. Thời điểm khảo sát lần cuối trùng với đại dịch COVID-19, có thể làm tăng thêm căng thẳng cho HS chuẩn bị thi chuyển cấp.</w:t>
      </w:r>
    </w:p>
    <w:p/>
    <w:p>
      <w:pPr>
        <w:pStyle w:val="Heading2"/>
      </w:pPr>
      <w:r>
        <w:rPr>
          <w:rFonts w:ascii="Times New Roman" w:hAnsi="Times New Roman"/>
          <w:color w:val="000000"/>
        </w:rPr>
        <w:t>Bài 4: Nguyễn Ngọc Bảo Quyên và cs. (2025) — Trầm cảm, lo âu, căng thẳng ở HS THPT Hà Nội</w:t>
      </w:r>
    </w:p>
    <w:tbl>
      <w:tblPr>
        <w:tblStyle w:val="TableGrid"/>
        <w:tblW w:type="auto" w:w="0"/>
        <w:jc w:val="center"/>
        <w:tblLook w:firstColumn="1" w:firstRow="1" w:lastColumn="0" w:lastRow="0" w:noHBand="0" w:noVBand="1" w:val="04A0"/>
      </w:tblPr>
      <w:tblGrid>
        <w:gridCol w:w="4702"/>
        <w:gridCol w:w="4702"/>
      </w:tblGrid>
      <w:tr>
        <w:tc>
          <w:tcPr>
            <w:tcW w:type="dxa" w:w="1701"/>
            <w:shd w:fill="D9E2F3" w:val="clear"/>
          </w:tcPr>
          <w:p>
            <w:r>
              <w:rPr>
                <w:rFonts w:ascii="Times New Roman" w:hAnsi="Times New Roman"/>
                <w:b/>
                <w:sz w:val="22"/>
              </w:rPr>
              <w:t>Tác giả</w:t>
            </w:r>
          </w:p>
        </w:tc>
        <w:tc>
          <w:tcPr>
            <w:tcW w:type="dxa" w:w="7370"/>
          </w:tcPr>
          <w:p>
            <w:r>
              <w:rPr>
                <w:rFonts w:ascii="Times New Roman" w:hAnsi="Times New Roman"/>
                <w:sz w:val="22"/>
              </w:rPr>
              <w:t>Nguyễn Ngọc Bảo Quyên và cộng sự</w:t>
            </w:r>
          </w:p>
        </w:tc>
      </w:tr>
      <w:tr>
        <w:tc>
          <w:tcPr>
            <w:tcW w:type="dxa" w:w="1701"/>
            <w:shd w:fill="D9E2F3" w:val="clear"/>
          </w:tcPr>
          <w:p>
            <w:r>
              <w:rPr>
                <w:rFonts w:ascii="Times New Roman" w:hAnsi="Times New Roman"/>
                <w:b/>
                <w:sz w:val="22"/>
              </w:rPr>
              <w:t>Tạp chí</w:t>
            </w:r>
          </w:p>
        </w:tc>
        <w:tc>
          <w:tcPr>
            <w:tcW w:type="dxa" w:w="7370"/>
          </w:tcPr>
          <w:p>
            <w:r>
              <w:rPr>
                <w:rFonts w:ascii="Times New Roman" w:hAnsi="Times New Roman"/>
                <w:sz w:val="22"/>
              </w:rPr>
              <w:t>Tạp chí Y học Cộng đồng (Vol. 66)</w:t>
            </w:r>
          </w:p>
        </w:tc>
      </w:tr>
      <w:tr>
        <w:tc>
          <w:tcPr>
            <w:tcW w:type="dxa" w:w="1701"/>
            <w:shd w:fill="D9E2F3" w:val="clear"/>
          </w:tcPr>
          <w:p>
            <w:r>
              <w:rPr>
                <w:rFonts w:ascii="Times New Roman" w:hAnsi="Times New Roman"/>
                <w:b/>
                <w:sz w:val="22"/>
              </w:rPr>
              <w:t>Năm</w:t>
            </w:r>
          </w:p>
        </w:tc>
        <w:tc>
          <w:tcPr>
            <w:tcW w:type="dxa" w:w="7370"/>
          </w:tcPr>
          <w:p>
            <w:r>
              <w:rPr>
                <w:rFonts w:ascii="Times New Roman" w:hAnsi="Times New Roman"/>
                <w:sz w:val="22"/>
              </w:rPr>
              <w:t>2025</w:t>
            </w:r>
          </w:p>
        </w:tc>
      </w:tr>
      <w:tr>
        <w:tc>
          <w:tcPr>
            <w:tcW w:type="dxa" w:w="1701"/>
            <w:shd w:fill="D9E2F3" w:val="clear"/>
          </w:tcPr>
          <w:p>
            <w:r>
              <w:rPr>
                <w:rFonts w:ascii="Times New Roman" w:hAnsi="Times New Roman"/>
                <w:b/>
                <w:sz w:val="22"/>
              </w:rPr>
              <w:t>Mẫu</w:t>
            </w:r>
          </w:p>
        </w:tc>
        <w:tc>
          <w:tcPr>
            <w:tcW w:type="dxa" w:w="7370"/>
          </w:tcPr>
          <w:p>
            <w:r>
              <w:rPr>
                <w:rFonts w:ascii="Times New Roman" w:hAnsi="Times New Roman"/>
                <w:sz w:val="22"/>
              </w:rPr>
              <w:t>501 học sinh THPT tại Hà Nội</w:t>
            </w:r>
          </w:p>
        </w:tc>
      </w:tr>
      <w:tr>
        <w:tc>
          <w:tcPr>
            <w:tcW w:type="dxa" w:w="1701"/>
            <w:shd w:fill="D9E2F3" w:val="clear"/>
          </w:tcPr>
          <w:p>
            <w:r>
              <w:rPr>
                <w:rFonts w:ascii="Times New Roman" w:hAnsi="Times New Roman"/>
                <w:b/>
                <w:sz w:val="22"/>
              </w:rPr>
              <w:t>Công cụ</w:t>
            </w:r>
          </w:p>
        </w:tc>
        <w:tc>
          <w:tcPr>
            <w:tcW w:type="dxa" w:w="7370"/>
          </w:tcPr>
          <w:p>
            <w:r>
              <w:rPr>
                <w:rFonts w:ascii="Times New Roman" w:hAnsi="Times New Roman"/>
                <w:sz w:val="22"/>
              </w:rPr>
              <w:t>DASS-21</w:t>
            </w:r>
          </w:p>
        </w:tc>
      </w:tr>
      <w:tr>
        <w:tc>
          <w:tcPr>
            <w:tcW w:type="dxa" w:w="1701"/>
            <w:shd w:fill="D9E2F3" w:val="clear"/>
          </w:tcPr>
          <w:p>
            <w:r>
              <w:rPr>
                <w:rFonts w:ascii="Times New Roman" w:hAnsi="Times New Roman"/>
                <w:b/>
                <w:sz w:val="22"/>
              </w:rPr>
              <w:t>Thiết kế</w:t>
            </w:r>
          </w:p>
        </w:tc>
        <w:tc>
          <w:tcPr>
            <w:tcW w:type="dxa" w:w="7370"/>
          </w:tcPr>
          <w:p>
            <w:r>
              <w:rPr>
                <w:rFonts w:ascii="Times New Roman" w:hAnsi="Times New Roman"/>
                <w:sz w:val="22"/>
              </w:rPr>
              <w:t>Nghiên cứu cắt ngang (tháng 8–12/2023)</w:t>
            </w:r>
          </w:p>
        </w:tc>
      </w:tr>
    </w:tbl>
    <w:p/>
    <w:p>
      <w:r>
        <w:rPr>
          <w:rFonts w:ascii="Times New Roman" w:hAnsi="Times New Roman"/>
          <w:b/>
          <w:sz w:val="24"/>
        </w:rPr>
        <w:t>Phương pháp</w:t>
      </w:r>
    </w:p>
    <w:p>
      <w:r>
        <w:rPr>
          <w:rFonts w:ascii="Times New Roman" w:hAnsi="Times New Roman"/>
          <w:sz w:val="24"/>
        </w:rPr>
        <w:t>Nghiên cứu cắt ngang trên 501 học sinh THPT tại Hà Nội, tiến hành từ tháng 8 đến 12/2023. Sử dụng thang DASS-21 (21 câu hỏi) qua bảng khảo sát trực tuyến. Phân tích mối liên quan giữa giới tính, khối lớp, loại trường với các chỉ số SKTT.</w:t>
      </w:r>
    </w:p>
    <w:p>
      <w:r>
        <w:rPr>
          <w:rFonts w:ascii="Times New Roman" w:hAnsi="Times New Roman"/>
          <w:b/>
          <w:sz w:val="24"/>
        </w:rPr>
        <w:t>Kết quả chính</w:t>
      </w:r>
    </w:p>
    <w:p>
      <w:r>
        <w:rPr>
          <w:rFonts w:ascii="Times New Roman" w:hAnsi="Times New Roman"/>
          <w:sz w:val="24"/>
        </w:rPr>
        <w:t>Tỷ lệ rất cao: 86,2% HS có dấu hiệu lo âu, 78,8% trầm cảm, 76,6% căng thẳng. Các trường hợp nặng và rất nặng chiếm tỷ lệ cao hơn đáng kể ở nữ so với nam (p &lt; 0,05). Không tìm thấy mối liên hệ có ý nghĩa giữa khối lớp hoặc loại trường với các vấn đề SKTT.</w:t>
      </w:r>
    </w:p>
    <w:p>
      <w:r>
        <w:rPr>
          <w:rFonts w:ascii="Times New Roman" w:hAnsi="Times New Roman"/>
          <w:sz w:val="24"/>
        </w:rPr>
        <w:t>Mặc dù tỷ lệ rất cao, cần lưu ý DASS-21 là công cụ sàng lọc chứ không phải chẩn đoán lâm sàng. Tỷ lệ cao có thể phản ánh phần nào phương pháp khảo sát trực tuyến và bối cảnh hậu COVID-19.</w:t>
      </w:r>
    </w:p>
    <w:p/>
    <w:p>
      <w:pPr>
        <w:pStyle w:val="Heading2"/>
      </w:pPr>
      <w:r>
        <w:rPr>
          <w:rFonts w:ascii="Times New Roman" w:hAnsi="Times New Roman"/>
          <w:color w:val="000000"/>
        </w:rPr>
        <w:t>Bài 5: Hoàng Trung Học &amp; Nguyễn Thùy Dung (2025) — Lo âu, trầm cảm ở VTN Việt Nam trong và sau COVID-19</w:t>
      </w:r>
    </w:p>
    <w:tbl>
      <w:tblPr>
        <w:tblStyle w:val="TableGrid"/>
        <w:tblW w:type="auto" w:w="0"/>
        <w:jc w:val="center"/>
        <w:tblLook w:firstColumn="1" w:firstRow="1" w:lastColumn="0" w:lastRow="0" w:noHBand="0" w:noVBand="1" w:val="04A0"/>
      </w:tblPr>
      <w:tblGrid>
        <w:gridCol w:w="4702"/>
        <w:gridCol w:w="4702"/>
      </w:tblGrid>
      <w:tr>
        <w:tc>
          <w:tcPr>
            <w:tcW w:type="dxa" w:w="1701"/>
            <w:shd w:fill="D9E2F3" w:val="clear"/>
          </w:tcPr>
          <w:p>
            <w:r>
              <w:rPr>
                <w:rFonts w:ascii="Times New Roman" w:hAnsi="Times New Roman"/>
                <w:b/>
                <w:sz w:val="22"/>
              </w:rPr>
              <w:t>Tác giả</w:t>
            </w:r>
          </w:p>
        </w:tc>
        <w:tc>
          <w:tcPr>
            <w:tcW w:type="dxa" w:w="7370"/>
          </w:tcPr>
          <w:p>
            <w:r>
              <w:rPr>
                <w:rFonts w:ascii="Times New Roman" w:hAnsi="Times New Roman"/>
                <w:sz w:val="22"/>
              </w:rPr>
              <w:t>Hoàng Trung Học (Học viện QLGD) và Nguyễn Thùy Dung (Viện NC Tâm lý Ứng dụng)</w:t>
            </w:r>
          </w:p>
        </w:tc>
      </w:tr>
      <w:tr>
        <w:tc>
          <w:tcPr>
            <w:tcW w:type="dxa" w:w="1701"/>
            <w:shd w:fill="D9E2F3" w:val="clear"/>
          </w:tcPr>
          <w:p>
            <w:r>
              <w:rPr>
                <w:rFonts w:ascii="Times New Roman" w:hAnsi="Times New Roman"/>
                <w:b/>
                <w:sz w:val="22"/>
              </w:rPr>
              <w:t>Tạp chí</w:t>
            </w:r>
          </w:p>
        </w:tc>
        <w:tc>
          <w:tcPr>
            <w:tcW w:type="dxa" w:w="7370"/>
          </w:tcPr>
          <w:p>
            <w:r>
              <w:rPr>
                <w:rFonts w:ascii="Times New Roman" w:hAnsi="Times New Roman"/>
                <w:sz w:val="22"/>
              </w:rPr>
              <w:t>American Journal of Psychiatric Rehabilitation (Vol. 28, No. 1)</w:t>
            </w:r>
          </w:p>
        </w:tc>
      </w:tr>
      <w:tr>
        <w:tc>
          <w:tcPr>
            <w:tcW w:type="dxa" w:w="1701"/>
            <w:shd w:fill="D9E2F3" w:val="clear"/>
          </w:tcPr>
          <w:p>
            <w:r>
              <w:rPr>
                <w:rFonts w:ascii="Times New Roman" w:hAnsi="Times New Roman"/>
                <w:b/>
                <w:sz w:val="22"/>
              </w:rPr>
              <w:t>Năm</w:t>
            </w:r>
          </w:p>
        </w:tc>
        <w:tc>
          <w:tcPr>
            <w:tcW w:type="dxa" w:w="7370"/>
          </w:tcPr>
          <w:p>
            <w:r>
              <w:rPr>
                <w:rFonts w:ascii="Times New Roman" w:hAnsi="Times New Roman"/>
                <w:sz w:val="22"/>
              </w:rPr>
              <w:t>2025</w:t>
            </w:r>
          </w:p>
        </w:tc>
      </w:tr>
      <w:tr>
        <w:tc>
          <w:tcPr>
            <w:tcW w:type="dxa" w:w="1701"/>
            <w:shd w:fill="D9E2F3" w:val="clear"/>
          </w:tcPr>
          <w:p>
            <w:r>
              <w:rPr>
                <w:rFonts w:ascii="Times New Roman" w:hAnsi="Times New Roman"/>
                <w:b/>
                <w:sz w:val="22"/>
              </w:rPr>
              <w:t>Mẫu</w:t>
            </w:r>
          </w:p>
        </w:tc>
        <w:tc>
          <w:tcPr>
            <w:tcW w:type="dxa" w:w="7370"/>
          </w:tcPr>
          <w:p>
            <w:r>
              <w:rPr>
                <w:rFonts w:ascii="Times New Roman" w:hAnsi="Times New Roman"/>
                <w:sz w:val="22"/>
              </w:rPr>
              <w:t>8.473 vị thành niên tại 6 tỉnh/thành Việt Nam</w:t>
            </w:r>
          </w:p>
        </w:tc>
      </w:tr>
      <w:tr>
        <w:tc>
          <w:tcPr>
            <w:tcW w:type="dxa" w:w="1701"/>
            <w:shd w:fill="D9E2F3" w:val="clear"/>
          </w:tcPr>
          <w:p>
            <w:r>
              <w:rPr>
                <w:rFonts w:ascii="Times New Roman" w:hAnsi="Times New Roman"/>
                <w:b/>
                <w:sz w:val="22"/>
              </w:rPr>
              <w:t>Công cụ</w:t>
            </w:r>
          </w:p>
        </w:tc>
        <w:tc>
          <w:tcPr>
            <w:tcW w:type="dxa" w:w="7370"/>
          </w:tcPr>
          <w:p>
            <w:r>
              <w:rPr>
                <w:rFonts w:ascii="Times New Roman" w:hAnsi="Times New Roman"/>
                <w:sz w:val="22"/>
              </w:rPr>
              <w:t>DASS-21 phiên bản tiếng Việt</w:t>
            </w:r>
          </w:p>
        </w:tc>
      </w:tr>
      <w:tr>
        <w:tc>
          <w:tcPr>
            <w:tcW w:type="dxa" w:w="1701"/>
            <w:shd w:fill="D9E2F3" w:val="clear"/>
          </w:tcPr>
          <w:p>
            <w:r>
              <w:rPr>
                <w:rFonts w:ascii="Times New Roman" w:hAnsi="Times New Roman"/>
                <w:b/>
                <w:sz w:val="22"/>
              </w:rPr>
              <w:t>Thiết kế</w:t>
            </w:r>
          </w:p>
        </w:tc>
        <w:tc>
          <w:tcPr>
            <w:tcW w:type="dxa" w:w="7370"/>
          </w:tcPr>
          <w:p>
            <w:r>
              <w:rPr>
                <w:rFonts w:ascii="Times New Roman" w:hAnsi="Times New Roman"/>
                <w:sz w:val="22"/>
              </w:rPr>
              <w:t>Nghiên cứu cắt ngang, so sánh hai giai đoạn (trong và sau COVID-19)</w:t>
            </w:r>
          </w:p>
        </w:tc>
      </w:tr>
    </w:tbl>
    <w:p/>
    <w:p>
      <w:r>
        <w:rPr>
          <w:rFonts w:ascii="Times New Roman" w:hAnsi="Times New Roman"/>
          <w:b/>
          <w:sz w:val="24"/>
        </w:rPr>
        <w:t>Phương pháp</w:t>
      </w:r>
    </w:p>
    <w:p>
      <w:r>
        <w:rPr>
          <w:rFonts w:ascii="Times New Roman" w:hAnsi="Times New Roman"/>
          <w:sz w:val="24"/>
        </w:rPr>
        <w:t>Nghiên cứu cắt ngang quy mô lớn trên 8.473 vị thành niên tại 6 tỉnh/thành Việt Nam. Sử dụng DASS-21 phiên bản tiếng Việt. So sánh hai thời điểm: trong đại dịch COVID-19 và sau đại dịch, nhằm đánh giá xu hướng thay đổi các chỉ số SKTT.</w:t>
      </w:r>
    </w:p>
    <w:p>
      <w:r>
        <w:rPr>
          <w:rFonts w:ascii="Times New Roman" w:hAnsi="Times New Roman"/>
          <w:b/>
          <w:sz w:val="24"/>
        </w:rPr>
        <w:t>Kết quả chính</w:t>
      </w:r>
    </w:p>
    <w:p>
      <w:r>
        <w:rPr>
          <w:rFonts w:ascii="Times New Roman" w:hAnsi="Times New Roman"/>
          <w:sz w:val="24"/>
        </w:rPr>
        <w:t>Trong đại dịch: căng thẳng 65,5%, lo âu 41,5%, trầm cảm 34,2%. Sau đại dịch: căng thẳng 55,4%, lo âu 25,4%, trầm cảm 20,1%. Tất cả các chỉ số đều giảm sau đại dịch nhưng vẫn ở mức cao.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fill="D9E2F3" w:val="clear"/>
          </w:tcPr>
          <w:p>
            <w:pPr>
              <w:jc w:val="center"/>
            </w:pPr>
            <w:r>
              <w:rPr>
                <w:rFonts w:ascii="Times New Roman" w:hAnsi="Times New Roman"/>
                <w:b/>
                <w:sz w:val="22"/>
              </w:rPr>
              <w:t>Chỉ số</w:t>
            </w:r>
          </w:p>
        </w:tc>
        <w:tc>
          <w:tcPr>
            <w:tcW w:type="dxa" w:w="1984"/>
            <w:shd w:fill="D9E2F3" w:val="clear"/>
          </w:tcPr>
          <w:p>
            <w:pPr>
              <w:jc w:val="center"/>
            </w:pPr>
            <w:r>
              <w:rPr>
                <w:rFonts w:ascii="Times New Roman" w:hAnsi="Times New Roman"/>
                <w:b/>
                <w:sz w:val="22"/>
              </w:rPr>
              <w:t>Trong đại dịch</w:t>
            </w:r>
          </w:p>
        </w:tc>
        <w:tc>
          <w:tcPr>
            <w:tcW w:type="dxa" w:w="1984"/>
            <w:shd w:fill="D9E2F3" w:val="clear"/>
          </w:tcPr>
          <w:p>
            <w:pPr>
              <w:jc w:val="center"/>
            </w:pPr>
            <w:r>
              <w:rPr>
                <w:rFonts w:ascii="Times New Roman" w:hAnsi="Times New Roman"/>
                <w:b/>
                <w:sz w:val="22"/>
              </w:rPr>
              <w:t>Sau đại dịch</w:t>
            </w:r>
          </w:p>
        </w:tc>
        <w:tc>
          <w:tcPr>
            <w:tcW w:type="dxa" w:w="1701"/>
            <w:shd w:fill="D9E2F3" w:val="clear"/>
          </w:tcPr>
          <w:p>
            <w:pPr>
              <w:jc w:val="center"/>
            </w:pPr>
            <w:r>
              <w:rPr>
                <w:rFonts w:ascii="Times New Roman" w:hAnsi="Times New Roman"/>
                <w:b/>
                <w:sz w:val="22"/>
              </w:rPr>
              <w:t>Thay đổi</w:t>
            </w:r>
          </w:p>
        </w:tc>
      </w:tr>
      <w:tr>
        <w:tc>
          <w:tcPr>
            <w:tcW w:type="dxa" w:w="2268"/>
          </w:tcPr>
          <w:p>
            <w:r>
              <w:rPr>
                <w:rFonts w:ascii="Times New Roman" w:hAnsi="Times New Roman"/>
                <w:sz w:val="22"/>
              </w:rPr>
              <w:t>Căng thẳng</w:t>
            </w:r>
          </w:p>
        </w:tc>
        <w:tc>
          <w:tcPr>
            <w:tcW w:type="dxa" w:w="1984"/>
          </w:tcPr>
          <w:p>
            <w:r>
              <w:rPr>
                <w:rFonts w:ascii="Times New Roman" w:hAnsi="Times New Roman"/>
                <w:sz w:val="22"/>
              </w:rPr>
              <w:t>65,5%</w:t>
            </w:r>
          </w:p>
        </w:tc>
        <w:tc>
          <w:tcPr>
            <w:tcW w:type="dxa" w:w="1984"/>
          </w:tcPr>
          <w:p>
            <w:r>
              <w:rPr>
                <w:rFonts w:ascii="Times New Roman" w:hAnsi="Times New Roman"/>
                <w:sz w:val="22"/>
              </w:rPr>
              <w:t>55,4%</w:t>
            </w:r>
          </w:p>
        </w:tc>
        <w:tc>
          <w:tcPr>
            <w:tcW w:type="dxa" w:w="1701"/>
          </w:tcPr>
          <w:p>
            <w:r>
              <w:rPr>
                <w:rFonts w:ascii="Times New Roman" w:hAnsi="Times New Roman"/>
                <w:sz w:val="22"/>
              </w:rPr>
              <w:t>↓ 10,1%</w:t>
            </w:r>
          </w:p>
        </w:tc>
      </w:tr>
      <w:tr>
        <w:tc>
          <w:tcPr>
            <w:tcW w:type="dxa" w:w="2268"/>
          </w:tcPr>
          <w:p>
            <w:r>
              <w:rPr>
                <w:rFonts w:ascii="Times New Roman" w:hAnsi="Times New Roman"/>
                <w:sz w:val="22"/>
              </w:rPr>
              <w:t>Lo âu</w:t>
            </w:r>
          </w:p>
        </w:tc>
        <w:tc>
          <w:tcPr>
            <w:tcW w:type="dxa" w:w="1984"/>
          </w:tcPr>
          <w:p>
            <w:r>
              <w:rPr>
                <w:rFonts w:ascii="Times New Roman" w:hAnsi="Times New Roman"/>
                <w:sz w:val="22"/>
              </w:rPr>
              <w:t>41,5%</w:t>
            </w:r>
          </w:p>
        </w:tc>
        <w:tc>
          <w:tcPr>
            <w:tcW w:type="dxa" w:w="1984"/>
          </w:tcPr>
          <w:p>
            <w:r>
              <w:rPr>
                <w:rFonts w:ascii="Times New Roman" w:hAnsi="Times New Roman"/>
                <w:sz w:val="22"/>
              </w:rPr>
              <w:t>25,4%</w:t>
            </w:r>
          </w:p>
        </w:tc>
        <w:tc>
          <w:tcPr>
            <w:tcW w:type="dxa" w:w="1701"/>
          </w:tcPr>
          <w:p>
            <w:r>
              <w:rPr>
                <w:rFonts w:ascii="Times New Roman" w:hAnsi="Times New Roman"/>
                <w:sz w:val="22"/>
              </w:rPr>
              <w:t>↓ 16,1%</w:t>
            </w:r>
          </w:p>
        </w:tc>
      </w:tr>
      <w:tr>
        <w:tc>
          <w:tcPr>
            <w:tcW w:type="dxa" w:w="2268"/>
          </w:tcPr>
          <w:p>
            <w:r>
              <w:rPr>
                <w:rFonts w:ascii="Times New Roman" w:hAnsi="Times New Roman"/>
                <w:sz w:val="22"/>
              </w:rPr>
              <w:t>Trầm cảm</w:t>
            </w:r>
          </w:p>
        </w:tc>
        <w:tc>
          <w:tcPr>
            <w:tcW w:type="dxa" w:w="1984"/>
          </w:tcPr>
          <w:p>
            <w:r>
              <w:rPr>
                <w:rFonts w:ascii="Times New Roman" w:hAnsi="Times New Roman"/>
                <w:sz w:val="22"/>
              </w:rPr>
              <w:t>34,2%</w:t>
            </w:r>
          </w:p>
        </w:tc>
        <w:tc>
          <w:tcPr>
            <w:tcW w:type="dxa" w:w="1984"/>
          </w:tcPr>
          <w:p>
            <w:r>
              <w:rPr>
                <w:rFonts w:ascii="Times New Roman" w:hAnsi="Times New Roman"/>
                <w:sz w:val="22"/>
              </w:rPr>
              <w:t>20,1%</w:t>
            </w:r>
          </w:p>
        </w:tc>
        <w:tc>
          <w:tcPr>
            <w:tcW w:type="dxa" w:w="1701"/>
          </w:tcPr>
          <w:p>
            <w:r>
              <w:rPr>
                <w:rFonts w:ascii="Times New Roman" w:hAnsi="Times New Roman"/>
                <w:sz w:val="22"/>
              </w:rPr>
              <w:t>↓ 14,1%</w:t>
            </w:r>
          </w:p>
        </w:tc>
      </w:tr>
    </w:tbl>
    <w:p/>
    <w:p>
      <w:r>
        <w:rPr>
          <w:rFonts w:ascii="Times New Roman" w:hAnsi="Times New Roman"/>
          <w:sz w:val="24"/>
        </w:rPr>
        <w:t>Các yếu tố nguy cơ: chất lượng mối quan hệ cha mẹ–con kém, sử dụng thiết bị điện tử quá mức, chất lượng giấc ngủ kém. Yếu tố bảo vệ: mối quan hệ gia đình tích cực (đặc biệt chống lo âu), hoạt động ngoại khóa và lối sống lành mạnh (sau đại dịch).</w:t>
      </w:r>
    </w:p>
    <w:p/>
    <w:p>
      <w:pPr>
        <w:pStyle w:val="Heading1"/>
      </w:pPr>
      <w:r>
        <w:rPr>
          <w:rFonts w:ascii="Times New Roman" w:hAnsi="Times New Roman"/>
          <w:color w:val="000000"/>
        </w:rPr>
        <w:t>PHẦN B: CÁC NGHIÊN CỨU TẠI ĐÔNG NAM Á</w:t>
      </w:r>
    </w:p>
    <w:p>
      <w:pPr>
        <w:pStyle w:val="Heading2"/>
      </w:pPr>
      <w:r>
        <w:rPr>
          <w:rFonts w:ascii="Times New Roman" w:hAnsi="Times New Roman"/>
          <w:color w:val="000000"/>
        </w:rPr>
        <w:t>Bài 6: Sarfika và cs. (2025) — Yếu tố dự báo và bảo vệ SKTT ở VTN Indonesia</w:t>
      </w:r>
    </w:p>
    <w:tbl>
      <w:tblPr>
        <w:tblStyle w:val="TableGrid"/>
        <w:tblW w:type="auto" w:w="0"/>
        <w:jc w:val="center"/>
        <w:tblLook w:firstColumn="1" w:firstRow="1" w:lastColumn="0" w:lastRow="0" w:noHBand="0" w:noVBand="1" w:val="04A0"/>
      </w:tblPr>
      <w:tblGrid>
        <w:gridCol w:w="4702"/>
        <w:gridCol w:w="4702"/>
      </w:tblGrid>
      <w:tr>
        <w:tc>
          <w:tcPr>
            <w:tcW w:type="dxa" w:w="1701"/>
            <w:shd w:fill="D9E2F3" w:val="clear"/>
          </w:tcPr>
          <w:p>
            <w:r>
              <w:rPr>
                <w:rFonts w:ascii="Times New Roman" w:hAnsi="Times New Roman"/>
                <w:b/>
                <w:sz w:val="22"/>
              </w:rPr>
              <w:t>Tác giả</w:t>
            </w:r>
          </w:p>
        </w:tc>
        <w:tc>
          <w:tcPr>
            <w:tcW w:type="dxa" w:w="7370"/>
          </w:tcPr>
          <w:p>
            <w:r>
              <w:rPr>
                <w:rFonts w:ascii="Times New Roman" w:hAnsi="Times New Roman"/>
                <w:sz w:val="22"/>
              </w:rPr>
              <w:t>Rika Sarfika, I Made Moh. Yanuar Saifudin, Anggi Lukman Wicaksana và cộng sự</w:t>
            </w:r>
          </w:p>
        </w:tc>
      </w:tr>
      <w:tr>
        <w:tc>
          <w:tcPr>
            <w:tcW w:type="dxa" w:w="1701"/>
            <w:shd w:fill="D9E2F3" w:val="clear"/>
          </w:tcPr>
          <w:p>
            <w:r>
              <w:rPr>
                <w:rFonts w:ascii="Times New Roman" w:hAnsi="Times New Roman"/>
                <w:b/>
                <w:sz w:val="22"/>
              </w:rPr>
              <w:t>Tạp chí</w:t>
            </w:r>
          </w:p>
        </w:tc>
        <w:tc>
          <w:tcPr>
            <w:tcW w:type="dxa" w:w="7370"/>
          </w:tcPr>
          <w:p>
            <w:r>
              <w:rPr>
                <w:rFonts w:ascii="Times New Roman" w:hAnsi="Times New Roman"/>
                <w:sz w:val="22"/>
              </w:rPr>
              <w:t>International Journal of Social Psychiatry</w:t>
            </w:r>
          </w:p>
        </w:tc>
      </w:tr>
      <w:tr>
        <w:tc>
          <w:tcPr>
            <w:tcW w:type="dxa" w:w="1701"/>
            <w:shd w:fill="D9E2F3" w:val="clear"/>
          </w:tcPr>
          <w:p>
            <w:r>
              <w:rPr>
                <w:rFonts w:ascii="Times New Roman" w:hAnsi="Times New Roman"/>
                <w:b/>
                <w:sz w:val="22"/>
              </w:rPr>
              <w:t>Năm</w:t>
            </w:r>
          </w:p>
        </w:tc>
        <w:tc>
          <w:tcPr>
            <w:tcW w:type="dxa" w:w="7370"/>
          </w:tcPr>
          <w:p>
            <w:r>
              <w:rPr>
                <w:rFonts w:ascii="Times New Roman" w:hAnsi="Times New Roman"/>
                <w:sz w:val="22"/>
              </w:rPr>
              <w:t>2025</w:t>
            </w:r>
          </w:p>
        </w:tc>
      </w:tr>
      <w:tr>
        <w:tc>
          <w:tcPr>
            <w:tcW w:type="dxa" w:w="1701"/>
            <w:shd w:fill="D9E2F3" w:val="clear"/>
          </w:tcPr>
          <w:p>
            <w:r>
              <w:rPr>
                <w:rFonts w:ascii="Times New Roman" w:hAnsi="Times New Roman"/>
                <w:b/>
                <w:sz w:val="22"/>
              </w:rPr>
              <w:t>Mẫu</w:t>
            </w:r>
          </w:p>
        </w:tc>
        <w:tc>
          <w:tcPr>
            <w:tcW w:type="dxa" w:w="7370"/>
          </w:tcPr>
          <w:p>
            <w:r>
              <w:rPr>
                <w:rFonts w:ascii="Times New Roman" w:hAnsi="Times New Roman"/>
                <w:sz w:val="22"/>
              </w:rPr>
              <w:t>Nghiên cứu đa trung tâm tại Indonesia (vị thành niên)</w:t>
            </w:r>
          </w:p>
        </w:tc>
      </w:tr>
      <w:tr>
        <w:tc>
          <w:tcPr>
            <w:tcW w:type="dxa" w:w="1701"/>
            <w:shd w:fill="D9E2F3" w:val="clear"/>
          </w:tcPr>
          <w:p>
            <w:r>
              <w:rPr>
                <w:rFonts w:ascii="Times New Roman" w:hAnsi="Times New Roman"/>
                <w:b/>
                <w:sz w:val="22"/>
              </w:rPr>
              <w:t>Công cụ</w:t>
            </w:r>
          </w:p>
        </w:tc>
        <w:tc>
          <w:tcPr>
            <w:tcW w:type="dxa" w:w="7370"/>
          </w:tcPr>
          <w:p>
            <w:r>
              <w:rPr>
                <w:rFonts w:ascii="Times New Roman" w:hAnsi="Times New Roman"/>
                <w:sz w:val="22"/>
              </w:rPr>
              <w:t>Dựa trên lý thuyết nhận thức xã hội (SCT)</w:t>
            </w:r>
          </w:p>
        </w:tc>
      </w:tr>
      <w:tr>
        <w:tc>
          <w:tcPr>
            <w:tcW w:type="dxa" w:w="1701"/>
            <w:shd w:fill="D9E2F3" w:val="clear"/>
          </w:tcPr>
          <w:p>
            <w:r>
              <w:rPr>
                <w:rFonts w:ascii="Times New Roman" w:hAnsi="Times New Roman"/>
                <w:b/>
                <w:sz w:val="22"/>
              </w:rPr>
              <w:t>Thiết kế</w:t>
            </w:r>
          </w:p>
        </w:tc>
        <w:tc>
          <w:tcPr>
            <w:tcW w:type="dxa" w:w="7370"/>
          </w:tcPr>
          <w:p>
            <w:r>
              <w:rPr>
                <w:rFonts w:ascii="Times New Roman" w:hAnsi="Times New Roman"/>
                <w:sz w:val="22"/>
              </w:rPr>
              <w:t>Nghiên cứu cắt ngang đa trung tâm</w:t>
            </w:r>
          </w:p>
        </w:tc>
      </w:tr>
    </w:tbl>
    <w:p/>
    <w:p>
      <w:r>
        <w:rPr>
          <w:rFonts w:ascii="Times New Roman" w:hAnsi="Times New Roman"/>
          <w:b/>
          <w:sz w:val="24"/>
        </w:rPr>
        <w:t>Phương pháp</w:t>
      </w:r>
    </w:p>
    <w:p>
      <w:r>
        <w:rPr>
          <w:rFonts w:ascii="Times New Roman" w:hAnsi="Times New Roman"/>
          <w:sz w:val="24"/>
        </w:rPr>
        <w:t>Nghiên cứu cắt ngang đa trung tâm tại Indonesia, dựa trên khung lý thuyết nhận thức xã hội (Social Cognitive Theory – SCT). Đánh giá các yếu tố dự báo và yếu tố bảo vệ đối với trầm cảm, lo âu và căng thẳng ở vị thành niên Indonesia.</w:t>
      </w:r>
    </w:p>
    <w:p>
      <w:r>
        <w:rPr>
          <w:rFonts w:ascii="Times New Roman" w:hAnsi="Times New Roman"/>
          <w:b/>
          <w:sz w:val="24"/>
        </w:rPr>
        <w:t>Kết quả chính</w:t>
      </w:r>
    </w:p>
    <w:p>
      <w:r>
        <w:rPr>
          <w:rFonts w:ascii="Times New Roman" w:hAnsi="Times New Roman"/>
          <w:sz w:val="24"/>
        </w:rPr>
        <w:t>Mô hình hồi quy giải thích 57,1% phương sai trầm cảm, 42,8% lo âu, và 46,3% căng thẳng. Giới tính, áp lực học tập, và áp lực bạn bè là các yếu tố dự báo chính của rối loạn tâm thần. Các yếu tố bảo vệ bao gồm: lòng tự trọng, khả năng phục hồi, hỗ trợ xã hội và hoạt động thể chất.</w:t>
      </w:r>
    </w:p>
    <w:p>
      <w:r>
        <w:rPr>
          <w:rFonts w:ascii="Times New Roman" w:hAnsi="Times New Roman"/>
          <w:sz w:val="24"/>
        </w:rPr>
        <w:t>Kết quả cho thấy cần xây dựng các chương trình can thiệp tại trường học tập trung vào nâng cao lòng tự trọng, phát triển khả năng phục hồi, và tăng cường hỗ trợ xã hội cho vị thành niên Indonesia.</w:t>
      </w:r>
    </w:p>
    <w:p/>
    <w:p>
      <w:pPr>
        <w:pStyle w:val="Heading2"/>
      </w:pPr>
      <w:r>
        <w:rPr>
          <w:rFonts w:ascii="Times New Roman" w:hAnsi="Times New Roman"/>
          <w:color w:val="000000"/>
        </w:rPr>
        <w:t>Bài 7: Ayeras và cs. (2024) — Lo âu xã hội ở HS THPT Philippines</w:t>
      </w:r>
    </w:p>
    <w:tbl>
      <w:tblPr>
        <w:tblStyle w:val="TableGrid"/>
        <w:tblW w:type="auto" w:w="0"/>
        <w:jc w:val="center"/>
        <w:tblLook w:firstColumn="1" w:firstRow="1" w:lastColumn="0" w:lastRow="0" w:noHBand="0" w:noVBand="1" w:val="04A0"/>
      </w:tblPr>
      <w:tblGrid>
        <w:gridCol w:w="4702"/>
        <w:gridCol w:w="4702"/>
      </w:tblGrid>
      <w:tr>
        <w:tc>
          <w:tcPr>
            <w:tcW w:type="dxa" w:w="1701"/>
            <w:shd w:fill="D9E2F3" w:val="clear"/>
          </w:tcPr>
          <w:p>
            <w:r>
              <w:rPr>
                <w:rFonts w:ascii="Times New Roman" w:hAnsi="Times New Roman"/>
                <w:b/>
                <w:sz w:val="22"/>
              </w:rPr>
              <w:t>Tác giả</w:t>
            </w:r>
          </w:p>
        </w:tc>
        <w:tc>
          <w:tcPr>
            <w:tcW w:type="dxa" w:w="7370"/>
          </w:tcPr>
          <w:p>
            <w:r>
              <w:rPr>
                <w:rFonts w:ascii="Times New Roman" w:hAnsi="Times New Roman"/>
                <w:sz w:val="22"/>
              </w:rPr>
              <w:t>Sophia Randa F. Ayeras, Johnrev B. Bumanlag, Blessy Faith D. De Guzman, Belle Marienne B. Reyes, Anna Klara F. Ruiz, Joseph A. Villarama</w:t>
            </w:r>
          </w:p>
        </w:tc>
      </w:tr>
      <w:tr>
        <w:tc>
          <w:tcPr>
            <w:tcW w:type="dxa" w:w="1701"/>
            <w:shd w:fill="D9E2F3" w:val="clear"/>
          </w:tcPr>
          <w:p>
            <w:r>
              <w:rPr>
                <w:rFonts w:ascii="Times New Roman" w:hAnsi="Times New Roman"/>
                <w:b/>
                <w:sz w:val="22"/>
              </w:rPr>
              <w:t>Tạp chí</w:t>
            </w:r>
          </w:p>
        </w:tc>
        <w:tc>
          <w:tcPr>
            <w:tcW w:type="dxa" w:w="7370"/>
          </w:tcPr>
          <w:p>
            <w:r>
              <w:rPr>
                <w:rFonts w:ascii="Times New Roman" w:hAnsi="Times New Roman"/>
                <w:sz w:val="22"/>
              </w:rPr>
              <w:t>Journal of Interdisciplinary Perspectives (Vol. 2, No. 7)</w:t>
            </w:r>
          </w:p>
        </w:tc>
      </w:tr>
      <w:tr>
        <w:tc>
          <w:tcPr>
            <w:tcW w:type="dxa" w:w="1701"/>
            <w:shd w:fill="D9E2F3" w:val="clear"/>
          </w:tcPr>
          <w:p>
            <w:r>
              <w:rPr>
                <w:rFonts w:ascii="Times New Roman" w:hAnsi="Times New Roman"/>
                <w:b/>
                <w:sz w:val="22"/>
              </w:rPr>
              <w:t>Năm</w:t>
            </w:r>
          </w:p>
        </w:tc>
        <w:tc>
          <w:tcPr>
            <w:tcW w:type="dxa" w:w="7370"/>
          </w:tcPr>
          <w:p>
            <w:r>
              <w:rPr>
                <w:rFonts w:ascii="Times New Roman" w:hAnsi="Times New Roman"/>
                <w:sz w:val="22"/>
              </w:rPr>
              <w:t>2024</w:t>
            </w:r>
          </w:p>
        </w:tc>
      </w:tr>
      <w:tr>
        <w:tc>
          <w:tcPr>
            <w:tcW w:type="dxa" w:w="1701"/>
            <w:shd w:fill="D9E2F3" w:val="clear"/>
          </w:tcPr>
          <w:p>
            <w:r>
              <w:rPr>
                <w:rFonts w:ascii="Times New Roman" w:hAnsi="Times New Roman"/>
                <w:b/>
                <w:sz w:val="22"/>
              </w:rPr>
              <w:t>Mẫu</w:t>
            </w:r>
          </w:p>
        </w:tc>
        <w:tc>
          <w:tcPr>
            <w:tcW w:type="dxa" w:w="7370"/>
          </w:tcPr>
          <w:p>
            <w:r>
              <w:rPr>
                <w:rFonts w:ascii="Times New Roman" w:hAnsi="Times New Roman"/>
                <w:sz w:val="22"/>
              </w:rPr>
              <w:t>12 học sinh THPT tại Central Luzon State University, Philippines</w:t>
            </w:r>
          </w:p>
        </w:tc>
      </w:tr>
      <w:tr>
        <w:tc>
          <w:tcPr>
            <w:tcW w:type="dxa" w:w="1701"/>
            <w:shd w:fill="D9E2F3" w:val="clear"/>
          </w:tcPr>
          <w:p>
            <w:r>
              <w:rPr>
                <w:rFonts w:ascii="Times New Roman" w:hAnsi="Times New Roman"/>
                <w:b/>
                <w:sz w:val="22"/>
              </w:rPr>
              <w:t>Công cụ</w:t>
            </w:r>
          </w:p>
        </w:tc>
        <w:tc>
          <w:tcPr>
            <w:tcW w:type="dxa" w:w="7370"/>
          </w:tcPr>
          <w:p>
            <w:r>
              <w:rPr>
                <w:rFonts w:ascii="Times New Roman" w:hAnsi="Times New Roman"/>
                <w:sz w:val="22"/>
              </w:rPr>
              <w:t>Phỏng vấn bán cấu trúc, phân tích chủ đề</w:t>
            </w:r>
          </w:p>
        </w:tc>
      </w:tr>
      <w:tr>
        <w:tc>
          <w:tcPr>
            <w:tcW w:type="dxa" w:w="1701"/>
            <w:shd w:fill="D9E2F3" w:val="clear"/>
          </w:tcPr>
          <w:p>
            <w:r>
              <w:rPr>
                <w:rFonts w:ascii="Times New Roman" w:hAnsi="Times New Roman"/>
                <w:b/>
                <w:sz w:val="22"/>
              </w:rPr>
              <w:t>Thiết kế</w:t>
            </w:r>
          </w:p>
        </w:tc>
        <w:tc>
          <w:tcPr>
            <w:tcW w:type="dxa" w:w="7370"/>
          </w:tcPr>
          <w:p>
            <w:r>
              <w:rPr>
                <w:rFonts w:ascii="Times New Roman" w:hAnsi="Times New Roman"/>
                <w:sz w:val="22"/>
              </w:rPr>
              <w:t>Nghiên cứu hiện tượng học (phenomenological qualitative study)</w:t>
            </w:r>
          </w:p>
        </w:tc>
      </w:tr>
    </w:tbl>
    <w:p/>
    <w:p>
      <w:r>
        <w:rPr>
          <w:rFonts w:ascii="Times New Roman" w:hAnsi="Times New Roman"/>
          <w:b/>
          <w:sz w:val="24"/>
        </w:rPr>
        <w:t>Phương pháp</w:t>
      </w:r>
    </w:p>
    <w:p>
      <w:r>
        <w:rPr>
          <w:rFonts w:ascii="Times New Roman" w:hAnsi="Times New Roman"/>
          <w:sz w:val="24"/>
        </w:rPr>
        <w:t>Nghiên cứu định tính theo phương pháp hiện tượng học, dựa trên lý thuyết nhận thức xã hội. Phỏng vấn bán cấu trúc 12 học sinh THPT có lo âu xã hội tại Central Luzon State University, Philippines. Dữ liệu ghi âm và phân tích chủ đề (thematic analysis).</w:t>
      </w:r>
    </w:p>
    <w:p>
      <w:r>
        <w:rPr>
          <w:rFonts w:ascii="Times New Roman" w:hAnsi="Times New Roman"/>
          <w:b/>
          <w:sz w:val="24"/>
        </w:rPr>
        <w:t>Kết quả chính</w:t>
      </w:r>
    </w:p>
    <w:p>
      <w:r>
        <w:rPr>
          <w:rFonts w:ascii="Times New Roman" w:hAnsi="Times New Roman"/>
          <w:sz w:val="24"/>
        </w:rPr>
        <w:t>Nghiên cứu xác định nhiều yếu tố kích hoạt lo âu xã hội ở vị thành niên: môi trường, trải nghiệm tiêu cực, và xung đột nội tâm. Học sinh có lo âu xã hội gặp khó khăn trong học tập và mối quan hệ bạn bè. Lo âu xã hội ảnh hưởng tiêu cực đến lòng tự trọng.</w:t>
      </w:r>
    </w:p>
    <w:p>
      <w:r>
        <w:rPr>
          <w:rFonts w:ascii="Times New Roman" w:hAnsi="Times New Roman"/>
          <w:sz w:val="24"/>
        </w:rPr>
        <w:t>Chiến lược ứng phó hiệu quả giúp giảm lo âu, nhưng các chương trình hướng dẫn hiện tại tại trường còn thiếu. Tác giả khuyến nghị xây dựng các chương trình can thiệp dựa trên trường học, phát triển năng lực xã hội và hỗ trợ dài hạn cho HS.</w:t>
      </w:r>
    </w:p>
    <w:p/>
    <w:p>
      <w:pPr>
        <w:pStyle w:val="Heading1"/>
      </w:pPr>
      <w:r>
        <w:rPr>
          <w:rFonts w:ascii="Times New Roman" w:hAnsi="Times New Roman"/>
          <w:color w:val="000000"/>
        </w:rPr>
        <w:t>PHẦN C: CÁC NGHIÊN CỨU QUỐC TẾ</w:t>
      </w:r>
    </w:p>
    <w:p>
      <w:pPr>
        <w:pStyle w:val="Heading2"/>
      </w:pPr>
      <w:r>
        <w:rPr>
          <w:rFonts w:ascii="Times New Roman" w:hAnsi="Times New Roman"/>
          <w:color w:val="000000"/>
        </w:rPr>
        <w:t>Bài 8: Islam và cs. (2026) — Lo âu ở VTN đi học tại 59 quốc gia (GSHS)</w:t>
      </w:r>
    </w:p>
    <w:tbl>
      <w:tblPr>
        <w:tblStyle w:val="TableGrid"/>
        <w:tblW w:type="auto" w:w="0"/>
        <w:jc w:val="center"/>
        <w:tblLook w:firstColumn="1" w:firstRow="1" w:lastColumn="0" w:lastRow="0" w:noHBand="0" w:noVBand="1" w:val="04A0"/>
      </w:tblPr>
      <w:tblGrid>
        <w:gridCol w:w="4702"/>
        <w:gridCol w:w="4702"/>
      </w:tblGrid>
      <w:tr>
        <w:tc>
          <w:tcPr>
            <w:tcW w:type="dxa" w:w="1701"/>
            <w:shd w:fill="D9E2F3" w:val="clear"/>
          </w:tcPr>
          <w:p>
            <w:r>
              <w:rPr>
                <w:rFonts w:ascii="Times New Roman" w:hAnsi="Times New Roman"/>
                <w:b/>
                <w:sz w:val="22"/>
              </w:rPr>
              <w:t>Tác giả</w:t>
            </w:r>
          </w:p>
        </w:tc>
        <w:tc>
          <w:tcPr>
            <w:tcW w:type="dxa" w:w="7370"/>
          </w:tcPr>
          <w:p>
            <w:r>
              <w:rPr>
                <w:rFonts w:ascii="Times New Roman" w:hAnsi="Times New Roman"/>
                <w:sz w:val="22"/>
              </w:rPr>
              <w:t>Md. Amirul Islam và cộng sự</w:t>
            </w:r>
          </w:p>
        </w:tc>
      </w:tr>
      <w:tr>
        <w:tc>
          <w:tcPr>
            <w:tcW w:type="dxa" w:w="1701"/>
            <w:shd w:fill="D9E2F3" w:val="clear"/>
          </w:tcPr>
          <w:p>
            <w:r>
              <w:rPr>
                <w:rFonts w:ascii="Times New Roman" w:hAnsi="Times New Roman"/>
                <w:b/>
                <w:sz w:val="22"/>
              </w:rPr>
              <w:t>Tạp chí</w:t>
            </w:r>
          </w:p>
        </w:tc>
        <w:tc>
          <w:tcPr>
            <w:tcW w:type="dxa" w:w="7370"/>
          </w:tcPr>
          <w:p>
            <w:r>
              <w:rPr>
                <w:rFonts w:ascii="Times New Roman" w:hAnsi="Times New Roman"/>
                <w:sz w:val="22"/>
              </w:rPr>
              <w:t>Journal of Affective Disorders (IF ≈ 6.6)</w:t>
            </w:r>
          </w:p>
        </w:tc>
      </w:tr>
      <w:tr>
        <w:tc>
          <w:tcPr>
            <w:tcW w:type="dxa" w:w="1701"/>
            <w:shd w:fill="D9E2F3" w:val="clear"/>
          </w:tcPr>
          <w:p>
            <w:r>
              <w:rPr>
                <w:rFonts w:ascii="Times New Roman" w:hAnsi="Times New Roman"/>
                <w:b/>
                <w:sz w:val="22"/>
              </w:rPr>
              <w:t>Năm</w:t>
            </w:r>
          </w:p>
        </w:tc>
        <w:tc>
          <w:tcPr>
            <w:tcW w:type="dxa" w:w="7370"/>
          </w:tcPr>
          <w:p>
            <w:r>
              <w:rPr>
                <w:rFonts w:ascii="Times New Roman" w:hAnsi="Times New Roman"/>
                <w:sz w:val="22"/>
              </w:rPr>
              <w:t>2026</w:t>
            </w:r>
          </w:p>
        </w:tc>
      </w:tr>
      <w:tr>
        <w:tc>
          <w:tcPr>
            <w:tcW w:type="dxa" w:w="1701"/>
            <w:shd w:fill="D9E2F3" w:val="clear"/>
          </w:tcPr>
          <w:p>
            <w:r>
              <w:rPr>
                <w:rFonts w:ascii="Times New Roman" w:hAnsi="Times New Roman"/>
                <w:b/>
                <w:sz w:val="22"/>
              </w:rPr>
              <w:t>Mẫu</w:t>
            </w:r>
          </w:p>
        </w:tc>
        <w:tc>
          <w:tcPr>
            <w:tcW w:type="dxa" w:w="7370"/>
          </w:tcPr>
          <w:p>
            <w:r>
              <w:rPr>
                <w:rFonts w:ascii="Times New Roman" w:hAnsi="Times New Roman"/>
                <w:sz w:val="22"/>
              </w:rPr>
              <w:t>179.937 vị thành niên 11–17 tuổi tại 59 quốc gia</w:t>
            </w:r>
          </w:p>
        </w:tc>
      </w:tr>
      <w:tr>
        <w:tc>
          <w:tcPr>
            <w:tcW w:type="dxa" w:w="1701"/>
            <w:shd w:fill="D9E2F3" w:val="clear"/>
          </w:tcPr>
          <w:p>
            <w:r>
              <w:rPr>
                <w:rFonts w:ascii="Times New Roman" w:hAnsi="Times New Roman"/>
                <w:b/>
                <w:sz w:val="22"/>
              </w:rPr>
              <w:t>Công cụ</w:t>
            </w:r>
          </w:p>
        </w:tc>
        <w:tc>
          <w:tcPr>
            <w:tcW w:type="dxa" w:w="7370"/>
          </w:tcPr>
          <w:p>
            <w:r>
              <w:rPr>
                <w:rFonts w:ascii="Times New Roman" w:hAnsi="Times New Roman"/>
                <w:sz w:val="22"/>
              </w:rPr>
              <w:t>Global School-based Student Health Survey (GSHS)</w:t>
            </w:r>
          </w:p>
        </w:tc>
      </w:tr>
      <w:tr>
        <w:tc>
          <w:tcPr>
            <w:tcW w:type="dxa" w:w="1701"/>
            <w:shd w:fill="D9E2F3" w:val="clear"/>
          </w:tcPr>
          <w:p>
            <w:r>
              <w:rPr>
                <w:rFonts w:ascii="Times New Roman" w:hAnsi="Times New Roman"/>
                <w:b/>
                <w:sz w:val="22"/>
              </w:rPr>
              <w:t>Thiết kế</w:t>
            </w:r>
          </w:p>
        </w:tc>
        <w:tc>
          <w:tcPr>
            <w:tcW w:type="dxa" w:w="7370"/>
          </w:tcPr>
          <w:p>
            <w:r>
              <w:rPr>
                <w:rFonts w:ascii="Times New Roman" w:hAnsi="Times New Roman"/>
                <w:sz w:val="22"/>
              </w:rPr>
              <w:t>Phân tích dữ liệu thứ cấp từ GSHS</w:t>
            </w:r>
          </w:p>
        </w:tc>
      </w:tr>
    </w:tbl>
    <w:p/>
    <w:p>
      <w:r>
        <w:rPr>
          <w:rFonts w:ascii="Times New Roman" w:hAnsi="Times New Roman"/>
          <w:b/>
          <w:sz w:val="24"/>
        </w:rPr>
        <w:t>Phương pháp</w:t>
      </w:r>
    </w:p>
    <w:p>
      <w:r>
        <w:rPr>
          <w:rFonts w:ascii="Times New Roman" w:hAnsi="Times New Roman"/>
          <w:sz w:val="24"/>
        </w:rPr>
        <w:t>Phân tích dữ liệu thứ cấp từ Khảo sát Sức khỏe Học sinh Toàn cầu (GSHS) trên 179.937 vị thành niên 11–17 tuổi tại 59 quốc gia. Đây là một trong những nghiên cứu quy mô lớn nhất về lo âu ở VTN đi học, cho phép so sánh giữa các khu vực trên thế giới.</w:t>
      </w:r>
    </w:p>
    <w:p>
      <w:r>
        <w:rPr>
          <w:rFonts w:ascii="Times New Roman" w:hAnsi="Times New Roman"/>
          <w:b/>
          <w:sz w:val="24"/>
        </w:rPr>
        <w:t>Kết quả chính</w:t>
      </w:r>
    </w:p>
    <w:p>
      <w:r>
        <w:rPr>
          <w:rFonts w:ascii="Times New Roman" w:hAnsi="Times New Roman"/>
          <w:sz w:val="24"/>
        </w:rPr>
        <w:t>Tỷ lệ lo âu dao động lớn giữa các khu vực. Đông Địa Trung Hải có tỷ lệ cao nhất (14,61%, 95% CI: 14,59–14,63). Đông Nam Á có tỷ lệ thấp nhất (3,78%, 95% CI: 3,72–3,83). Khu vực châu Phi khoảng 11,4%, cao gấp gần 4 lần Đông Nam Á.</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fill="D9E2F3" w:val="clear"/>
          </w:tcPr>
          <w:p>
            <w:pPr>
              <w:jc w:val="center"/>
            </w:pPr>
            <w:r>
              <w:rPr>
                <w:rFonts w:ascii="Times New Roman" w:hAnsi="Times New Roman"/>
                <w:b/>
                <w:sz w:val="22"/>
              </w:rPr>
              <w:t>Khu vực</w:t>
            </w:r>
          </w:p>
        </w:tc>
        <w:tc>
          <w:tcPr>
            <w:tcW w:type="dxa" w:w="2268"/>
            <w:shd w:fill="D9E2F3" w:val="clear"/>
          </w:tcPr>
          <w:p>
            <w:pPr>
              <w:jc w:val="center"/>
            </w:pPr>
            <w:r>
              <w:rPr>
                <w:rFonts w:ascii="Times New Roman" w:hAnsi="Times New Roman"/>
                <w:b/>
                <w:sz w:val="22"/>
              </w:rPr>
              <w:t>Tỷ lệ lo âu</w:t>
            </w:r>
          </w:p>
        </w:tc>
        <w:tc>
          <w:tcPr>
            <w:tcW w:type="dxa" w:w="2835"/>
            <w:shd w:fill="D9E2F3" w:val="clear"/>
          </w:tcPr>
          <w:p>
            <w:pPr>
              <w:jc w:val="center"/>
            </w:pPr>
            <w:r>
              <w:rPr>
                <w:rFonts w:ascii="Times New Roman" w:hAnsi="Times New Roman"/>
                <w:b/>
                <w:sz w:val="22"/>
              </w:rPr>
              <w:t>95% CI</w:t>
            </w:r>
          </w:p>
        </w:tc>
      </w:tr>
      <w:tr>
        <w:tc>
          <w:tcPr>
            <w:tcW w:type="dxa" w:w="2835"/>
          </w:tcPr>
          <w:p>
            <w:r>
              <w:rPr>
                <w:rFonts w:ascii="Times New Roman" w:hAnsi="Times New Roman"/>
                <w:sz w:val="22"/>
              </w:rPr>
              <w:t>Đông Địa Trung Hải</w:t>
            </w:r>
          </w:p>
        </w:tc>
        <w:tc>
          <w:tcPr>
            <w:tcW w:type="dxa" w:w="2268"/>
          </w:tcPr>
          <w:p>
            <w:r>
              <w:rPr>
                <w:rFonts w:ascii="Times New Roman" w:hAnsi="Times New Roman"/>
                <w:sz w:val="22"/>
              </w:rPr>
              <w:t>14,61%</w:t>
            </w:r>
          </w:p>
        </w:tc>
        <w:tc>
          <w:tcPr>
            <w:tcW w:type="dxa" w:w="2835"/>
          </w:tcPr>
          <w:p>
            <w:r>
              <w:rPr>
                <w:rFonts w:ascii="Times New Roman" w:hAnsi="Times New Roman"/>
                <w:sz w:val="22"/>
              </w:rPr>
              <w:t>14,59–14,63</w:t>
            </w:r>
          </w:p>
        </w:tc>
      </w:tr>
      <w:tr>
        <w:tc>
          <w:tcPr>
            <w:tcW w:type="dxa" w:w="2835"/>
          </w:tcPr>
          <w:p>
            <w:r>
              <w:rPr>
                <w:rFonts w:ascii="Times New Roman" w:hAnsi="Times New Roman"/>
                <w:sz w:val="22"/>
              </w:rPr>
              <w:t>Châu Phi</w:t>
            </w:r>
          </w:p>
        </w:tc>
        <w:tc>
          <w:tcPr>
            <w:tcW w:type="dxa" w:w="2268"/>
          </w:tcPr>
          <w:p>
            <w:r>
              <w:rPr>
                <w:rFonts w:ascii="Times New Roman" w:hAnsi="Times New Roman"/>
                <w:sz w:val="22"/>
              </w:rPr>
              <w:t>~11,4%</w:t>
            </w:r>
          </w:p>
        </w:tc>
        <w:tc>
          <w:tcPr>
            <w:tcW w:type="dxa" w:w="2835"/>
          </w:tcPr>
          <w:p>
            <w:r>
              <w:rPr>
                <w:rFonts w:ascii="Times New Roman" w:hAnsi="Times New Roman"/>
                <w:sz w:val="22"/>
              </w:rPr>
              <w:t>—</w:t>
            </w:r>
          </w:p>
        </w:tc>
      </w:tr>
      <w:tr>
        <w:tc>
          <w:tcPr>
            <w:tcW w:type="dxa" w:w="2835"/>
          </w:tcPr>
          <w:p>
            <w:r>
              <w:rPr>
                <w:rFonts w:ascii="Times New Roman" w:hAnsi="Times New Roman"/>
                <w:sz w:val="22"/>
              </w:rPr>
              <w:t>Châu Âu</w:t>
            </w:r>
          </w:p>
        </w:tc>
        <w:tc>
          <w:tcPr>
            <w:tcW w:type="dxa" w:w="2268"/>
          </w:tcPr>
          <w:p>
            <w:r>
              <w:rPr>
                <w:rFonts w:ascii="Times New Roman" w:hAnsi="Times New Roman"/>
                <w:sz w:val="22"/>
              </w:rPr>
              <w:t>~7–8%</w:t>
            </w:r>
          </w:p>
        </w:tc>
        <w:tc>
          <w:tcPr>
            <w:tcW w:type="dxa" w:w="2835"/>
          </w:tcPr>
          <w:p>
            <w:r>
              <w:rPr>
                <w:rFonts w:ascii="Times New Roman" w:hAnsi="Times New Roman"/>
                <w:sz w:val="22"/>
              </w:rPr>
              <w:t>—</w:t>
            </w:r>
          </w:p>
        </w:tc>
      </w:tr>
      <w:tr>
        <w:tc>
          <w:tcPr>
            <w:tcW w:type="dxa" w:w="2835"/>
          </w:tcPr>
          <w:p>
            <w:r>
              <w:rPr>
                <w:rFonts w:ascii="Times New Roman" w:hAnsi="Times New Roman"/>
                <w:sz w:val="22"/>
              </w:rPr>
              <w:t>Tây Thái Bình Dương</w:t>
            </w:r>
          </w:p>
        </w:tc>
        <w:tc>
          <w:tcPr>
            <w:tcW w:type="dxa" w:w="2268"/>
          </w:tcPr>
          <w:p>
            <w:r>
              <w:rPr>
                <w:rFonts w:ascii="Times New Roman" w:hAnsi="Times New Roman"/>
                <w:sz w:val="22"/>
              </w:rPr>
              <w:t>~5–6%</w:t>
            </w:r>
          </w:p>
        </w:tc>
        <w:tc>
          <w:tcPr>
            <w:tcW w:type="dxa" w:w="2835"/>
          </w:tcPr>
          <w:p>
            <w:r>
              <w:rPr>
                <w:rFonts w:ascii="Times New Roman" w:hAnsi="Times New Roman"/>
                <w:sz w:val="22"/>
              </w:rPr>
              <w:t>—</w:t>
            </w:r>
          </w:p>
        </w:tc>
      </w:tr>
      <w:tr>
        <w:tc>
          <w:tcPr>
            <w:tcW w:type="dxa" w:w="2835"/>
          </w:tcPr>
          <w:p>
            <w:r>
              <w:rPr>
                <w:rFonts w:ascii="Times New Roman" w:hAnsi="Times New Roman"/>
                <w:sz w:val="22"/>
              </w:rPr>
              <w:t>Đông Nam Á</w:t>
            </w:r>
          </w:p>
        </w:tc>
        <w:tc>
          <w:tcPr>
            <w:tcW w:type="dxa" w:w="2268"/>
          </w:tcPr>
          <w:p>
            <w:r>
              <w:rPr>
                <w:rFonts w:ascii="Times New Roman" w:hAnsi="Times New Roman"/>
                <w:sz w:val="22"/>
              </w:rPr>
              <w:t>3,78%</w:t>
            </w:r>
          </w:p>
        </w:tc>
        <w:tc>
          <w:tcPr>
            <w:tcW w:type="dxa" w:w="2835"/>
          </w:tcPr>
          <w:p>
            <w:r>
              <w:rPr>
                <w:rFonts w:ascii="Times New Roman" w:hAnsi="Times New Roman"/>
                <w:sz w:val="22"/>
              </w:rPr>
              <w:t>3,72–3,83</w:t>
            </w:r>
          </w:p>
        </w:tc>
      </w:tr>
    </w:tbl>
    <w:p/>
    <w:p>
      <w:r>
        <w:rPr>
          <w:rFonts w:ascii="Times New Roman" w:hAnsi="Times New Roman"/>
          <w:sz w:val="24"/>
        </w:rPr>
        <w:t>Các yếu tố nguy cơ: thiếu an ninh lương thực, giới nữ, tuổi lớn hơn, bị bắt nạt, thiếu bạn thân, cha mẹ thiếu thấu hiểu, lối sống ít vận động, và ý tưởng tự tử.</w:t>
      </w:r>
    </w:p>
    <w:p/>
    <w:p>
      <w:pPr>
        <w:pStyle w:val="Heading2"/>
      </w:pPr>
      <w:r>
        <w:rPr>
          <w:rFonts w:ascii="Times New Roman" w:hAnsi="Times New Roman"/>
          <w:color w:val="000000"/>
        </w:rPr>
        <w:t>Bài 9: Dong, Wang &amp; Lin (2025) — Trầm cảm, lo âu, căng thẳng ở HS trung học tại Trung Quốc</w:t>
      </w:r>
    </w:p>
    <w:tbl>
      <w:tblPr>
        <w:tblStyle w:val="TableGrid"/>
        <w:tblW w:type="auto" w:w="0"/>
        <w:jc w:val="center"/>
        <w:tblLook w:firstColumn="1" w:firstRow="1" w:lastColumn="0" w:lastRow="0" w:noHBand="0" w:noVBand="1" w:val="04A0"/>
      </w:tblPr>
      <w:tblGrid>
        <w:gridCol w:w="4702"/>
        <w:gridCol w:w="4702"/>
      </w:tblGrid>
      <w:tr>
        <w:tc>
          <w:tcPr>
            <w:tcW w:type="dxa" w:w="1701"/>
            <w:shd w:fill="D9E2F3" w:val="clear"/>
          </w:tcPr>
          <w:p>
            <w:r>
              <w:rPr>
                <w:rFonts w:ascii="Times New Roman" w:hAnsi="Times New Roman"/>
                <w:b/>
                <w:sz w:val="22"/>
              </w:rPr>
              <w:t>Tác giả</w:t>
            </w:r>
          </w:p>
        </w:tc>
        <w:tc>
          <w:tcPr>
            <w:tcW w:type="dxa" w:w="7370"/>
          </w:tcPr>
          <w:p>
            <w:r>
              <w:rPr>
                <w:rFonts w:ascii="Times New Roman" w:hAnsi="Times New Roman"/>
                <w:sz w:val="22"/>
              </w:rPr>
              <w:t>Tingting Dong, Yumei Wang, Yuanjie Lin</w:t>
            </w:r>
          </w:p>
        </w:tc>
      </w:tr>
      <w:tr>
        <w:tc>
          <w:tcPr>
            <w:tcW w:type="dxa" w:w="1701"/>
            <w:shd w:fill="D9E2F3" w:val="clear"/>
          </w:tcPr>
          <w:p>
            <w:r>
              <w:rPr>
                <w:rFonts w:ascii="Times New Roman" w:hAnsi="Times New Roman"/>
                <w:b/>
                <w:sz w:val="22"/>
              </w:rPr>
              <w:t>Tạp chí</w:t>
            </w:r>
          </w:p>
        </w:tc>
        <w:tc>
          <w:tcPr>
            <w:tcW w:type="dxa" w:w="7370"/>
          </w:tcPr>
          <w:p>
            <w:r>
              <w:rPr>
                <w:rFonts w:ascii="Times New Roman" w:hAnsi="Times New Roman"/>
                <w:sz w:val="22"/>
              </w:rPr>
              <w:t>PLOS ONE</w:t>
            </w:r>
          </w:p>
        </w:tc>
      </w:tr>
      <w:tr>
        <w:tc>
          <w:tcPr>
            <w:tcW w:type="dxa" w:w="1701"/>
            <w:shd w:fill="D9E2F3" w:val="clear"/>
          </w:tcPr>
          <w:p>
            <w:r>
              <w:rPr>
                <w:rFonts w:ascii="Times New Roman" w:hAnsi="Times New Roman"/>
                <w:b/>
                <w:sz w:val="22"/>
              </w:rPr>
              <w:t>Năm</w:t>
            </w:r>
          </w:p>
        </w:tc>
        <w:tc>
          <w:tcPr>
            <w:tcW w:type="dxa" w:w="7370"/>
          </w:tcPr>
          <w:p>
            <w:r>
              <w:rPr>
                <w:rFonts w:ascii="Times New Roman" w:hAnsi="Times New Roman"/>
                <w:sz w:val="22"/>
              </w:rPr>
              <w:t>2025</w:t>
            </w:r>
          </w:p>
        </w:tc>
      </w:tr>
      <w:tr>
        <w:tc>
          <w:tcPr>
            <w:tcW w:type="dxa" w:w="1701"/>
            <w:shd w:fill="D9E2F3" w:val="clear"/>
          </w:tcPr>
          <w:p>
            <w:r>
              <w:rPr>
                <w:rFonts w:ascii="Times New Roman" w:hAnsi="Times New Roman"/>
                <w:b/>
                <w:sz w:val="22"/>
              </w:rPr>
              <w:t>Mẫu</w:t>
            </w:r>
          </w:p>
        </w:tc>
        <w:tc>
          <w:tcPr>
            <w:tcW w:type="dxa" w:w="7370"/>
          </w:tcPr>
          <w:p>
            <w:r>
              <w:rPr>
                <w:rFonts w:ascii="Times New Roman" w:hAnsi="Times New Roman"/>
                <w:sz w:val="22"/>
              </w:rPr>
              <w:t>2.716 học sinh trung học tại Ya'an, Tây Nam Trung Quốc</w:t>
            </w:r>
          </w:p>
        </w:tc>
      </w:tr>
      <w:tr>
        <w:tc>
          <w:tcPr>
            <w:tcW w:type="dxa" w:w="1701"/>
            <w:shd w:fill="D9E2F3" w:val="clear"/>
          </w:tcPr>
          <w:p>
            <w:r>
              <w:rPr>
                <w:rFonts w:ascii="Times New Roman" w:hAnsi="Times New Roman"/>
                <w:b/>
                <w:sz w:val="22"/>
              </w:rPr>
              <w:t>Công cụ</w:t>
            </w:r>
          </w:p>
        </w:tc>
        <w:tc>
          <w:tcPr>
            <w:tcW w:type="dxa" w:w="7370"/>
          </w:tcPr>
          <w:p>
            <w:r>
              <w:rPr>
                <w:rFonts w:ascii="Times New Roman" w:hAnsi="Times New Roman"/>
                <w:sz w:val="22"/>
              </w:rPr>
              <w:t>DASS-21</w:t>
            </w:r>
          </w:p>
        </w:tc>
      </w:tr>
      <w:tr>
        <w:tc>
          <w:tcPr>
            <w:tcW w:type="dxa" w:w="1701"/>
            <w:shd w:fill="D9E2F3" w:val="clear"/>
          </w:tcPr>
          <w:p>
            <w:r>
              <w:rPr>
                <w:rFonts w:ascii="Times New Roman" w:hAnsi="Times New Roman"/>
                <w:b/>
                <w:sz w:val="22"/>
              </w:rPr>
              <w:t>Thiết kế</w:t>
            </w:r>
          </w:p>
        </w:tc>
        <w:tc>
          <w:tcPr>
            <w:tcW w:type="dxa" w:w="7370"/>
          </w:tcPr>
          <w:p>
            <w:r>
              <w:rPr>
                <w:rFonts w:ascii="Times New Roman" w:hAnsi="Times New Roman"/>
                <w:sz w:val="22"/>
              </w:rPr>
              <w:t>Nghiên cứu cắt ngang (tháng 3–6/2022)</w:t>
            </w:r>
          </w:p>
        </w:tc>
      </w:tr>
    </w:tbl>
    <w:p/>
    <w:p>
      <w:r>
        <w:rPr>
          <w:rFonts w:ascii="Times New Roman" w:hAnsi="Times New Roman"/>
          <w:b/>
          <w:sz w:val="24"/>
        </w:rPr>
        <w:t>Phương pháp</w:t>
      </w:r>
    </w:p>
    <w:p>
      <w:r>
        <w:rPr>
          <w:rFonts w:ascii="Times New Roman" w:hAnsi="Times New Roman"/>
          <w:sz w:val="24"/>
        </w:rPr>
        <w:t>Nghiên cứu cắt ngang trên 2.716 HS trung học (45,3% nam, 54,7% nữ) tại Ya'an, Tây Nam Trung Quốc, tiến hành tháng 3–6/2022. Sử dụng DASS-21 với thang 4 điểm (0–3). Tỷ lệ hoàn thành 93,66%. Phân tích bằng hồi quy logistic nhị phân, chi-square và t-test.</w:t>
      </w:r>
    </w:p>
    <w:p>
      <w:r>
        <w:rPr>
          <w:rFonts w:ascii="Times New Roman" w:hAnsi="Times New Roman"/>
          <w:b/>
          <w:sz w:val="24"/>
        </w:rPr>
        <w:t>Kết quả chính</w:t>
      </w:r>
    </w:p>
    <w:p>
      <w:r>
        <w:rPr>
          <w:rFonts w:ascii="Times New Roman" w:hAnsi="Times New Roman"/>
          <w:sz w:val="24"/>
        </w:rPr>
        <w:t>Tỷ lệ lo âu cao nhất: 41,4% (nhẹ 14,62%, trung bình 18,37%, nặng 4,09%, rất nặng 4,34%). Trầm cảm 24,4%. Căng thẳng 15,6%. HS THPT có tỷ lệ cao hơn HS THCS ở cả ba chỉ số (p &lt; 0,001).</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417"/>
            <w:shd w:fill="D9E2F3" w:val="clear"/>
          </w:tcPr>
          <w:p>
            <w:pPr>
              <w:jc w:val="center"/>
            </w:pPr>
            <w:r>
              <w:rPr>
                <w:rFonts w:ascii="Times New Roman" w:hAnsi="Times New Roman"/>
                <w:b/>
                <w:sz w:val="22"/>
              </w:rPr>
              <w:t>Chỉ số</w:t>
            </w:r>
          </w:p>
        </w:tc>
        <w:tc>
          <w:tcPr>
            <w:tcW w:type="dxa" w:w="1134"/>
            <w:shd w:fill="D9E2F3" w:val="clear"/>
          </w:tcPr>
          <w:p>
            <w:pPr>
              <w:jc w:val="center"/>
            </w:pPr>
            <w:r>
              <w:rPr>
                <w:rFonts w:ascii="Times New Roman" w:hAnsi="Times New Roman"/>
                <w:b/>
                <w:sz w:val="22"/>
              </w:rPr>
              <w:t>Tổng</w:t>
            </w:r>
          </w:p>
        </w:tc>
        <w:tc>
          <w:tcPr>
            <w:tcW w:type="dxa" w:w="1417"/>
            <w:shd w:fill="D9E2F3" w:val="clear"/>
          </w:tcPr>
          <w:p>
            <w:pPr>
              <w:jc w:val="center"/>
            </w:pPr>
            <w:r>
              <w:rPr>
                <w:rFonts w:ascii="Times New Roman" w:hAnsi="Times New Roman"/>
                <w:b/>
                <w:sz w:val="22"/>
              </w:rPr>
              <w:t>Nhẹ</w:t>
            </w:r>
          </w:p>
        </w:tc>
        <w:tc>
          <w:tcPr>
            <w:tcW w:type="dxa" w:w="1417"/>
            <w:shd w:fill="D9E2F3" w:val="clear"/>
          </w:tcPr>
          <w:p>
            <w:pPr>
              <w:jc w:val="center"/>
            </w:pPr>
            <w:r>
              <w:rPr>
                <w:rFonts w:ascii="Times New Roman" w:hAnsi="Times New Roman"/>
                <w:b/>
                <w:sz w:val="22"/>
              </w:rPr>
              <w:t>Trung bình</w:t>
            </w:r>
          </w:p>
        </w:tc>
        <w:tc>
          <w:tcPr>
            <w:tcW w:type="dxa" w:w="1417"/>
            <w:shd w:fill="D9E2F3" w:val="clear"/>
          </w:tcPr>
          <w:p>
            <w:pPr>
              <w:jc w:val="center"/>
            </w:pPr>
            <w:r>
              <w:rPr>
                <w:rFonts w:ascii="Times New Roman" w:hAnsi="Times New Roman"/>
                <w:b/>
                <w:sz w:val="22"/>
              </w:rPr>
              <w:t>Nặng</w:t>
            </w:r>
          </w:p>
        </w:tc>
        <w:tc>
          <w:tcPr>
            <w:tcW w:type="dxa" w:w="1417"/>
            <w:shd w:fill="D9E2F3" w:val="clear"/>
          </w:tcPr>
          <w:p>
            <w:pPr>
              <w:jc w:val="center"/>
            </w:pPr>
            <w:r>
              <w:rPr>
                <w:rFonts w:ascii="Times New Roman" w:hAnsi="Times New Roman"/>
                <w:b/>
                <w:sz w:val="22"/>
              </w:rPr>
              <w:t>Rất nặng</w:t>
            </w:r>
          </w:p>
        </w:tc>
      </w:tr>
      <w:tr>
        <w:tc>
          <w:tcPr>
            <w:tcW w:type="dxa" w:w="1417"/>
          </w:tcPr>
          <w:p>
            <w:r>
              <w:rPr>
                <w:rFonts w:ascii="Times New Roman" w:hAnsi="Times New Roman"/>
                <w:sz w:val="22"/>
              </w:rPr>
              <w:t>Trầm cảm</w:t>
            </w:r>
          </w:p>
        </w:tc>
        <w:tc>
          <w:tcPr>
            <w:tcW w:type="dxa" w:w="1134"/>
          </w:tcPr>
          <w:p>
            <w:r>
              <w:rPr>
                <w:rFonts w:ascii="Times New Roman" w:hAnsi="Times New Roman"/>
                <w:sz w:val="22"/>
              </w:rPr>
              <w:t>24,4%</w:t>
            </w:r>
          </w:p>
        </w:tc>
        <w:tc>
          <w:tcPr>
            <w:tcW w:type="dxa" w:w="1417"/>
          </w:tcPr>
          <w:p>
            <w:r>
              <w:rPr>
                <w:rFonts w:ascii="Times New Roman" w:hAnsi="Times New Roman"/>
                <w:sz w:val="22"/>
              </w:rPr>
              <w:t>12,41%</w:t>
            </w:r>
          </w:p>
        </w:tc>
        <w:tc>
          <w:tcPr>
            <w:tcW w:type="dxa" w:w="1417"/>
          </w:tcPr>
          <w:p>
            <w:r>
              <w:rPr>
                <w:rFonts w:ascii="Times New Roman" w:hAnsi="Times New Roman"/>
                <w:sz w:val="22"/>
              </w:rPr>
              <w:t>8,47%</w:t>
            </w:r>
          </w:p>
        </w:tc>
        <w:tc>
          <w:tcPr>
            <w:tcW w:type="dxa" w:w="1417"/>
          </w:tcPr>
          <w:p>
            <w:r>
              <w:rPr>
                <w:rFonts w:ascii="Times New Roman" w:hAnsi="Times New Roman"/>
                <w:sz w:val="22"/>
              </w:rPr>
              <w:t>1,17%</w:t>
            </w:r>
          </w:p>
        </w:tc>
        <w:tc>
          <w:tcPr>
            <w:tcW w:type="dxa" w:w="1417"/>
          </w:tcPr>
          <w:p>
            <w:r>
              <w:rPr>
                <w:rFonts w:ascii="Times New Roman" w:hAnsi="Times New Roman"/>
                <w:sz w:val="22"/>
              </w:rPr>
              <w:t>1,17%</w:t>
            </w:r>
          </w:p>
        </w:tc>
      </w:tr>
      <w:tr>
        <w:tc>
          <w:tcPr>
            <w:tcW w:type="dxa" w:w="1417"/>
          </w:tcPr>
          <w:p>
            <w:r>
              <w:rPr>
                <w:rFonts w:ascii="Times New Roman" w:hAnsi="Times New Roman"/>
                <w:sz w:val="22"/>
              </w:rPr>
              <w:t>Lo âu</w:t>
            </w:r>
          </w:p>
        </w:tc>
        <w:tc>
          <w:tcPr>
            <w:tcW w:type="dxa" w:w="1134"/>
          </w:tcPr>
          <w:p>
            <w:r>
              <w:rPr>
                <w:rFonts w:ascii="Times New Roman" w:hAnsi="Times New Roman"/>
                <w:sz w:val="22"/>
              </w:rPr>
              <w:t>41,4%</w:t>
            </w:r>
          </w:p>
        </w:tc>
        <w:tc>
          <w:tcPr>
            <w:tcW w:type="dxa" w:w="1417"/>
          </w:tcPr>
          <w:p>
            <w:r>
              <w:rPr>
                <w:rFonts w:ascii="Times New Roman" w:hAnsi="Times New Roman"/>
                <w:sz w:val="22"/>
              </w:rPr>
              <w:t>14,62%</w:t>
            </w:r>
          </w:p>
        </w:tc>
        <w:tc>
          <w:tcPr>
            <w:tcW w:type="dxa" w:w="1417"/>
          </w:tcPr>
          <w:p>
            <w:r>
              <w:rPr>
                <w:rFonts w:ascii="Times New Roman" w:hAnsi="Times New Roman"/>
                <w:sz w:val="22"/>
              </w:rPr>
              <w:t>18,37%</w:t>
            </w:r>
          </w:p>
        </w:tc>
        <w:tc>
          <w:tcPr>
            <w:tcW w:type="dxa" w:w="1417"/>
          </w:tcPr>
          <w:p>
            <w:r>
              <w:rPr>
                <w:rFonts w:ascii="Times New Roman" w:hAnsi="Times New Roman"/>
                <w:sz w:val="22"/>
              </w:rPr>
              <w:t>4,09%</w:t>
            </w:r>
          </w:p>
        </w:tc>
        <w:tc>
          <w:tcPr>
            <w:tcW w:type="dxa" w:w="1417"/>
          </w:tcPr>
          <w:p>
            <w:r>
              <w:rPr>
                <w:rFonts w:ascii="Times New Roman" w:hAnsi="Times New Roman"/>
                <w:sz w:val="22"/>
              </w:rPr>
              <w:t>4,34%</w:t>
            </w:r>
          </w:p>
        </w:tc>
      </w:tr>
      <w:tr>
        <w:tc>
          <w:tcPr>
            <w:tcW w:type="dxa" w:w="1417"/>
          </w:tcPr>
          <w:p>
            <w:r>
              <w:rPr>
                <w:rFonts w:ascii="Times New Roman" w:hAnsi="Times New Roman"/>
                <w:sz w:val="22"/>
              </w:rPr>
              <w:t>Căng thẳng</w:t>
            </w:r>
          </w:p>
        </w:tc>
        <w:tc>
          <w:tcPr>
            <w:tcW w:type="dxa" w:w="1134"/>
          </w:tcPr>
          <w:p>
            <w:r>
              <w:rPr>
                <w:rFonts w:ascii="Times New Roman" w:hAnsi="Times New Roman"/>
                <w:sz w:val="22"/>
              </w:rPr>
              <w:t>15,6%</w:t>
            </w:r>
          </w:p>
        </w:tc>
        <w:tc>
          <w:tcPr>
            <w:tcW w:type="dxa" w:w="1417"/>
          </w:tcPr>
          <w:p>
            <w:r>
              <w:rPr>
                <w:rFonts w:ascii="Times New Roman" w:hAnsi="Times New Roman"/>
                <w:sz w:val="22"/>
              </w:rPr>
              <w:t>8,58%</w:t>
            </w:r>
          </w:p>
        </w:tc>
        <w:tc>
          <w:tcPr>
            <w:tcW w:type="dxa" w:w="1417"/>
          </w:tcPr>
          <w:p>
            <w:r>
              <w:rPr>
                <w:rFonts w:ascii="Times New Roman" w:hAnsi="Times New Roman"/>
                <w:sz w:val="22"/>
              </w:rPr>
              <w:t>4,20%</w:t>
            </w:r>
          </w:p>
        </w:tc>
        <w:tc>
          <w:tcPr>
            <w:tcW w:type="dxa" w:w="1417"/>
          </w:tcPr>
          <w:p>
            <w:r>
              <w:rPr>
                <w:rFonts w:ascii="Times New Roman" w:hAnsi="Times New Roman"/>
                <w:sz w:val="22"/>
              </w:rPr>
              <w:t>2,14%</w:t>
            </w:r>
          </w:p>
        </w:tc>
        <w:tc>
          <w:tcPr>
            <w:tcW w:type="dxa" w:w="1417"/>
          </w:tcPr>
          <w:p>
            <w:r>
              <w:rPr>
                <w:rFonts w:ascii="Times New Roman" w:hAnsi="Times New Roman"/>
                <w:sz w:val="22"/>
              </w:rPr>
              <w:t>0,66%</w:t>
            </w:r>
          </w:p>
        </w:tc>
      </w:tr>
    </w:tbl>
    <w:p/>
    <w:p>
      <w:r>
        <w:rPr>
          <w:rFonts w:ascii="Times New Roman" w:hAnsi="Times New Roman"/>
          <w:sz w:val="24"/>
        </w:rPr>
        <w:t>Các yếu tố nguy cơ: HS THPT (so với THCS), điểm dưới bách phân vị 60 (OR = 1,62), gia đình đơn thân, sống nội trú, sống ở nông thôn. Yếu tố bảo vệ mạnh: có người thân để tâm sự (OR = 0,22 cho trầm cảm, 0,27 cho lo âu, 0,23 cho căng thẳng). Giới tính không có ý nghĩa thống kê (p &gt; 0,05).</w:t>
      </w:r>
    </w:p>
    <w:p/>
    <w:p>
      <w:pPr>
        <w:pStyle w:val="Heading2"/>
      </w:pPr>
      <w:r>
        <w:rPr>
          <w:rFonts w:ascii="Times New Roman" w:hAnsi="Times New Roman"/>
          <w:color w:val="000000"/>
        </w:rPr>
        <w:t>Bài 10: Salari và cs. (2024) — Tỷ lệ RLLAXA ở trẻ em, VTN và thanh niên: tổng quan hệ thống &amp; phân tích tổng hợp</w:t>
      </w:r>
    </w:p>
    <w:tbl>
      <w:tblPr>
        <w:tblStyle w:val="TableGrid"/>
        <w:tblW w:type="auto" w:w="0"/>
        <w:jc w:val="center"/>
        <w:tblLook w:firstColumn="1" w:firstRow="1" w:lastColumn="0" w:lastRow="0" w:noHBand="0" w:noVBand="1" w:val="04A0"/>
      </w:tblPr>
      <w:tblGrid>
        <w:gridCol w:w="4702"/>
        <w:gridCol w:w="4702"/>
      </w:tblGrid>
      <w:tr>
        <w:tc>
          <w:tcPr>
            <w:tcW w:type="dxa" w:w="1701"/>
            <w:shd w:fill="D9E2F3" w:val="clear"/>
          </w:tcPr>
          <w:p>
            <w:r>
              <w:rPr>
                <w:rFonts w:ascii="Times New Roman" w:hAnsi="Times New Roman"/>
                <w:b/>
                <w:sz w:val="22"/>
              </w:rPr>
              <w:t>Tác giả</w:t>
            </w:r>
          </w:p>
        </w:tc>
        <w:tc>
          <w:tcPr>
            <w:tcW w:type="dxa" w:w="7370"/>
          </w:tcPr>
          <w:p>
            <w:r>
              <w:rPr>
                <w:rFonts w:ascii="Times New Roman" w:hAnsi="Times New Roman"/>
                <w:sz w:val="22"/>
              </w:rPr>
              <w:t>Nader Salari, Pegah Heidarian, Masoud Hassanabadi, Fateme Babajani, Nasrin Abdoli, Maliheh Aminian, Masoud Mohammadi</w:t>
            </w:r>
          </w:p>
        </w:tc>
      </w:tr>
      <w:tr>
        <w:tc>
          <w:tcPr>
            <w:tcW w:type="dxa" w:w="1701"/>
            <w:shd w:fill="D9E2F3" w:val="clear"/>
          </w:tcPr>
          <w:p>
            <w:r>
              <w:rPr>
                <w:rFonts w:ascii="Times New Roman" w:hAnsi="Times New Roman"/>
                <w:b/>
                <w:sz w:val="22"/>
              </w:rPr>
              <w:t>Tạp chí</w:t>
            </w:r>
          </w:p>
        </w:tc>
        <w:tc>
          <w:tcPr>
            <w:tcW w:type="dxa" w:w="7370"/>
          </w:tcPr>
          <w:p>
            <w:r>
              <w:rPr>
                <w:rFonts w:ascii="Times New Roman" w:hAnsi="Times New Roman"/>
                <w:sz w:val="22"/>
              </w:rPr>
              <w:t>Journal of Prevention (IF ≈ 2.5)</w:t>
            </w:r>
          </w:p>
        </w:tc>
      </w:tr>
      <w:tr>
        <w:tc>
          <w:tcPr>
            <w:tcW w:type="dxa" w:w="1701"/>
            <w:shd w:fill="D9E2F3" w:val="clear"/>
          </w:tcPr>
          <w:p>
            <w:r>
              <w:rPr>
                <w:rFonts w:ascii="Times New Roman" w:hAnsi="Times New Roman"/>
                <w:b/>
                <w:sz w:val="22"/>
              </w:rPr>
              <w:t>Năm</w:t>
            </w:r>
          </w:p>
        </w:tc>
        <w:tc>
          <w:tcPr>
            <w:tcW w:type="dxa" w:w="7370"/>
          </w:tcPr>
          <w:p>
            <w:r>
              <w:rPr>
                <w:rFonts w:ascii="Times New Roman" w:hAnsi="Times New Roman"/>
                <w:sz w:val="22"/>
              </w:rPr>
              <w:t>2024</w:t>
            </w:r>
          </w:p>
        </w:tc>
      </w:tr>
      <w:tr>
        <w:tc>
          <w:tcPr>
            <w:tcW w:type="dxa" w:w="1701"/>
            <w:shd w:fill="D9E2F3" w:val="clear"/>
          </w:tcPr>
          <w:p>
            <w:r>
              <w:rPr>
                <w:rFonts w:ascii="Times New Roman" w:hAnsi="Times New Roman"/>
                <w:b/>
                <w:sz w:val="22"/>
              </w:rPr>
              <w:t>Mẫu</w:t>
            </w:r>
          </w:p>
        </w:tc>
        <w:tc>
          <w:tcPr>
            <w:tcW w:type="dxa" w:w="7370"/>
          </w:tcPr>
          <w:p>
            <w:r>
              <w:rPr>
                <w:rFonts w:ascii="Times New Roman" w:hAnsi="Times New Roman"/>
                <w:sz w:val="22"/>
              </w:rPr>
              <w:t>38 nghiên cứu (tổng quan hệ thống &amp; phân tích tổng hợp)</w:t>
            </w:r>
          </w:p>
        </w:tc>
      </w:tr>
      <w:tr>
        <w:tc>
          <w:tcPr>
            <w:tcW w:type="dxa" w:w="1701"/>
            <w:shd w:fill="D9E2F3" w:val="clear"/>
          </w:tcPr>
          <w:p>
            <w:r>
              <w:rPr>
                <w:rFonts w:ascii="Times New Roman" w:hAnsi="Times New Roman"/>
                <w:b/>
                <w:sz w:val="22"/>
              </w:rPr>
              <w:t>Công cụ</w:t>
            </w:r>
          </w:p>
        </w:tc>
        <w:tc>
          <w:tcPr>
            <w:tcW w:type="dxa" w:w="7370"/>
          </w:tcPr>
          <w:p>
            <w:r>
              <w:rPr>
                <w:rFonts w:ascii="Times New Roman" w:hAnsi="Times New Roman"/>
                <w:sz w:val="22"/>
              </w:rPr>
              <w:t>Random-effects meta-analysis</w:t>
            </w:r>
          </w:p>
        </w:tc>
      </w:tr>
      <w:tr>
        <w:tc>
          <w:tcPr>
            <w:tcW w:type="dxa" w:w="1701"/>
            <w:shd w:fill="D9E2F3" w:val="clear"/>
          </w:tcPr>
          <w:p>
            <w:r>
              <w:rPr>
                <w:rFonts w:ascii="Times New Roman" w:hAnsi="Times New Roman"/>
                <w:b/>
                <w:sz w:val="22"/>
              </w:rPr>
              <w:t>Thiết kế</w:t>
            </w:r>
          </w:p>
        </w:tc>
        <w:tc>
          <w:tcPr>
            <w:tcW w:type="dxa" w:w="7370"/>
          </w:tcPr>
          <w:p>
            <w:r>
              <w:rPr>
                <w:rFonts w:ascii="Times New Roman" w:hAnsi="Times New Roman"/>
                <w:sz w:val="22"/>
              </w:rPr>
              <w:t>Tổng quan hệ thống và phân tích tổng hợp (Systematic Review &amp; Meta-Analysis)</w:t>
            </w:r>
          </w:p>
        </w:tc>
      </w:tr>
    </w:tbl>
    <w:p/>
    <w:p>
      <w:r>
        <w:rPr>
          <w:rFonts w:ascii="Times New Roman" w:hAnsi="Times New Roman"/>
          <w:b/>
          <w:sz w:val="24"/>
        </w:rPr>
        <w:t>Phương pháp</w:t>
      </w:r>
    </w:p>
    <w:p>
      <w:r>
        <w:rPr>
          <w:rFonts w:ascii="Times New Roman" w:hAnsi="Times New Roman"/>
          <w:sz w:val="24"/>
        </w:rPr>
        <w:t>Tổng quan hệ thống và phân tích tổng hợp sử dụng mô hình hiệu ứng ngẫu nhiên (random-effects model) trên 38 nghiên cứu về rối loạn lo âu xã hội (Social Anxiety Disorder – SAD) ở trẻ em, vị thành niên và thanh niên trên toàn cầu.</w:t>
      </w:r>
    </w:p>
    <w:p>
      <w:r>
        <w:rPr>
          <w:rFonts w:ascii="Times New Roman" w:hAnsi="Times New Roman"/>
          <w:b/>
          <w:sz w:val="24"/>
        </w:rPr>
        <w:t>Kết quả chính</w:t>
      </w:r>
    </w:p>
    <w:p>
      <w:r>
        <w:rPr>
          <w:rFonts w:ascii="Times New Roman" w:hAnsi="Times New Roman"/>
          <w:sz w:val="24"/>
        </w:rPr>
        <w:t>Tỷ lệ rối loạn lo âu xã hội tăng dần theo lứa tuổi: trẻ em 4,7%, vị thành niên 8,3%, thanh niên 17,0%. Đây là bằng chứng mạnh cho thấy SAD gia tăng đáng kể qua các giai đoạn phát triển. SAD gây suy giảm nghiêm trọng tương tác xã hội, kết quả học tập và hoạt động nghề nghiệp.</w:t>
      </w:r>
    </w:p>
    <w:p>
      <w:r>
        <w:rPr>
          <w:rFonts w:ascii="Times New Roman" w:hAnsi="Times New Roman"/>
          <w:sz w:val="24"/>
        </w:rPr>
        <w:t>Các tác giả khuyến nghị các nhà hoạch định chính sách sử dụng kết quả này để xây dựng chiến lược phòng ngừa hiệu quả, đặc biệt nhắm vào nhóm vị thành niên và thanh niên là nhóm có nguy cơ cao nhất.</w:t>
      </w:r>
    </w:p>
    <w:p/>
    <w:p>
      <w:pPr>
        <w:pStyle w:val="Heading2"/>
      </w:pPr>
      <w:r>
        <w:rPr>
          <w:rFonts w:ascii="Times New Roman" w:hAnsi="Times New Roman"/>
          <w:color w:val="000000"/>
        </w:rPr>
        <w:t>Bài 11: Zhameden và cs. (2025) — Can thiệp tại trường học phòng ngừa lo âu và trầm cảm ở LMIC</w:t>
      </w:r>
    </w:p>
    <w:tbl>
      <w:tblPr>
        <w:tblStyle w:val="TableGrid"/>
        <w:tblW w:type="auto" w:w="0"/>
        <w:jc w:val="center"/>
        <w:tblLook w:firstColumn="1" w:firstRow="1" w:lastColumn="0" w:lastRow="0" w:noHBand="0" w:noVBand="1" w:val="04A0"/>
      </w:tblPr>
      <w:tblGrid>
        <w:gridCol w:w="4702"/>
        <w:gridCol w:w="4702"/>
      </w:tblGrid>
      <w:tr>
        <w:tc>
          <w:tcPr>
            <w:tcW w:type="dxa" w:w="1701"/>
            <w:shd w:fill="D9E2F3" w:val="clear"/>
          </w:tcPr>
          <w:p>
            <w:r>
              <w:rPr>
                <w:rFonts w:ascii="Times New Roman" w:hAnsi="Times New Roman"/>
                <w:b/>
                <w:sz w:val="22"/>
              </w:rPr>
              <w:t>Tác giả</w:t>
            </w:r>
          </w:p>
        </w:tc>
        <w:tc>
          <w:tcPr>
            <w:tcW w:type="dxa" w:w="7370"/>
          </w:tcPr>
          <w:p>
            <w:r>
              <w:rPr>
                <w:rFonts w:ascii="Times New Roman" w:hAnsi="Times New Roman"/>
                <w:sz w:val="22"/>
              </w:rPr>
              <w:t>Sharone Zhameden Dieu Yin, Mei Ken Low, Masuma Pervin Mishu</w:t>
            </w:r>
          </w:p>
        </w:tc>
      </w:tr>
      <w:tr>
        <w:tc>
          <w:tcPr>
            <w:tcW w:type="dxa" w:w="1701"/>
            <w:shd w:fill="D9E2F3" w:val="clear"/>
          </w:tcPr>
          <w:p>
            <w:r>
              <w:rPr>
                <w:rFonts w:ascii="Times New Roman" w:hAnsi="Times New Roman"/>
                <w:b/>
                <w:sz w:val="22"/>
              </w:rPr>
              <w:t>Tạp chí</w:t>
            </w:r>
          </w:p>
        </w:tc>
        <w:tc>
          <w:tcPr>
            <w:tcW w:type="dxa" w:w="7370"/>
          </w:tcPr>
          <w:p>
            <w:r>
              <w:rPr>
                <w:rFonts w:ascii="Times New Roman" w:hAnsi="Times New Roman"/>
                <w:sz w:val="22"/>
              </w:rPr>
              <w:t>PLOS ONE</w:t>
            </w:r>
          </w:p>
        </w:tc>
      </w:tr>
      <w:tr>
        <w:tc>
          <w:tcPr>
            <w:tcW w:type="dxa" w:w="1701"/>
            <w:shd w:fill="D9E2F3" w:val="clear"/>
          </w:tcPr>
          <w:p>
            <w:r>
              <w:rPr>
                <w:rFonts w:ascii="Times New Roman" w:hAnsi="Times New Roman"/>
                <w:b/>
                <w:sz w:val="22"/>
              </w:rPr>
              <w:t>Năm</w:t>
            </w:r>
          </w:p>
        </w:tc>
        <w:tc>
          <w:tcPr>
            <w:tcW w:type="dxa" w:w="7370"/>
          </w:tcPr>
          <w:p>
            <w:r>
              <w:rPr>
                <w:rFonts w:ascii="Times New Roman" w:hAnsi="Times New Roman"/>
                <w:sz w:val="22"/>
              </w:rPr>
              <w:t>2025</w:t>
            </w:r>
          </w:p>
        </w:tc>
      </w:tr>
      <w:tr>
        <w:tc>
          <w:tcPr>
            <w:tcW w:type="dxa" w:w="1701"/>
            <w:shd w:fill="D9E2F3" w:val="clear"/>
          </w:tcPr>
          <w:p>
            <w:r>
              <w:rPr>
                <w:rFonts w:ascii="Times New Roman" w:hAnsi="Times New Roman"/>
                <w:b/>
                <w:sz w:val="22"/>
              </w:rPr>
              <w:t>Mẫu</w:t>
            </w:r>
          </w:p>
        </w:tc>
        <w:tc>
          <w:tcPr>
            <w:tcW w:type="dxa" w:w="7370"/>
          </w:tcPr>
          <w:p>
            <w:r>
              <w:rPr>
                <w:rFonts w:ascii="Times New Roman" w:hAnsi="Times New Roman"/>
                <w:sz w:val="22"/>
              </w:rPr>
              <w:t>6 RCTs, 1.587 người tham gia (tuổi 4–18)</w:t>
            </w:r>
          </w:p>
        </w:tc>
      </w:tr>
      <w:tr>
        <w:tc>
          <w:tcPr>
            <w:tcW w:type="dxa" w:w="1701"/>
            <w:shd w:fill="D9E2F3" w:val="clear"/>
          </w:tcPr>
          <w:p>
            <w:r>
              <w:rPr>
                <w:rFonts w:ascii="Times New Roman" w:hAnsi="Times New Roman"/>
                <w:b/>
                <w:sz w:val="22"/>
              </w:rPr>
              <w:t>Công cụ</w:t>
            </w:r>
          </w:p>
        </w:tc>
        <w:tc>
          <w:tcPr>
            <w:tcW w:type="dxa" w:w="7370"/>
          </w:tcPr>
          <w:p>
            <w:r>
              <w:rPr>
                <w:rFonts w:ascii="Times New Roman" w:hAnsi="Times New Roman"/>
                <w:sz w:val="22"/>
              </w:rPr>
              <w:t>Tổng quan hệ thống RCTs</w:t>
            </w:r>
          </w:p>
        </w:tc>
      </w:tr>
      <w:tr>
        <w:tc>
          <w:tcPr>
            <w:tcW w:type="dxa" w:w="1701"/>
            <w:shd w:fill="D9E2F3" w:val="clear"/>
          </w:tcPr>
          <w:p>
            <w:r>
              <w:rPr>
                <w:rFonts w:ascii="Times New Roman" w:hAnsi="Times New Roman"/>
                <w:b/>
                <w:sz w:val="22"/>
              </w:rPr>
              <w:t>Thiết kế</w:t>
            </w:r>
          </w:p>
        </w:tc>
        <w:tc>
          <w:tcPr>
            <w:tcW w:type="dxa" w:w="7370"/>
          </w:tcPr>
          <w:p>
            <w:r>
              <w:rPr>
                <w:rFonts w:ascii="Times New Roman" w:hAnsi="Times New Roman"/>
                <w:sz w:val="22"/>
              </w:rPr>
              <w:t>Tổng quan hệ thống (Systematic Review)</w:t>
            </w:r>
          </w:p>
        </w:tc>
      </w:tr>
    </w:tbl>
    <w:p/>
    <w:p>
      <w:r>
        <w:rPr>
          <w:rFonts w:ascii="Times New Roman" w:hAnsi="Times New Roman"/>
          <w:b/>
          <w:sz w:val="24"/>
        </w:rPr>
        <w:t>Phương pháp</w:t>
      </w:r>
    </w:p>
    <w:p>
      <w:r>
        <w:rPr>
          <w:rFonts w:ascii="Times New Roman" w:hAnsi="Times New Roman"/>
          <w:sz w:val="24"/>
        </w:rPr>
        <w:t>Tổng quan hệ thống các thử nghiệm ngẫu nhiên có đối chứng (RCTs) đánh giá hiệu quả can thiệp tại trường học nhằm phòng ngừa lo âu và trầm cảm ở trẻ em và vị thành niên tại các nước thu nhập thấp và trung bình (LMIC). Tổng cộng 6 RCTs với 1.587 người tham gia (4–18 tuổi).</w:t>
      </w:r>
    </w:p>
    <w:p>
      <w:r>
        <w:rPr>
          <w:rFonts w:ascii="Times New Roman" w:hAnsi="Times New Roman"/>
          <w:b/>
          <w:sz w:val="24"/>
        </w:rPr>
        <w:t>Kết quả chính</w:t>
      </w:r>
    </w:p>
    <w:p>
      <w:r>
        <w:rPr>
          <w:rFonts w:ascii="Times New Roman" w:hAnsi="Times New Roman"/>
          <w:sz w:val="24"/>
        </w:rPr>
        <w:t>Quốc gia nghiên cứu: Brazil, Trung Quốc, Liban, Malaysia (thu nhập trung bình cao) và Ấn Độ, Kenya (thu nhập trung bình thấp). Chưa có nghiên cứu nào từ nước thu nhập thấp. Hai loại can thiệp chính: CBT (4 nghiên cứu) và giáo dục tâm lý (2 nghiên cứu).</w:t>
      </w:r>
    </w:p>
    <w:p>
      <w:r>
        <w:rPr>
          <w:rFonts w:ascii="Times New Roman" w:hAnsi="Times New Roman"/>
          <w:sz w:val="24"/>
        </w:rPr>
        <w:t>Kết quả đáng chú ý: chỉ 1/4 nghiên cứu cho thấy giảm lo âu có ý nghĩa thống kê, trong khi 3/4 cho thấy cải thiện trầm cảm. Điều này gợi ý can thiệp tại trường có hiệu quả hơn cho trầm cảm so với lo âu. Chất lượng bằng chứng xếp hạng "rất thấp" (GRADE) do thiên vị phân bổ, thiếu mù hóa, và thiếu dữ liệu.</w:t>
      </w:r>
    </w:p>
    <w:p>
      <w:r>
        <w:rPr>
          <w:rFonts w:ascii="Times New Roman" w:hAnsi="Times New Roman"/>
          <w:sz w:val="24"/>
        </w:rPr>
        <w:t>Khuyến nghị: cần nghiên cứu ở nước thu nhập thấp, chuẩn hóa công cụ đo, kéo dài thời gian theo dõi trên 3 tháng, điều chỉnh can thiệp phù hợp văn hóa, và phát triển mô hình tiết kiệm chi phí.</w:t>
      </w:r>
    </w:p>
    <w:p/>
    <w:p>
      <w:pPr>
        <w:pStyle w:val="Heading1"/>
      </w:pPr>
      <w:r>
        <w:rPr>
          <w:rFonts w:ascii="Times New Roman" w:hAnsi="Times New Roman"/>
          <w:color w:val="000000"/>
        </w:rPr>
        <w:t>II. ĐIỂM NỔI BẬT</w:t>
      </w:r>
    </w:p>
    <w:p>
      <w:r>
        <w:rPr>
          <w:rFonts w:ascii="Times New Roman" w:hAnsi="Times New Roman"/>
          <w:b/>
          <w:sz w:val="24"/>
        </w:rPr>
        <w:t>1. Tỷ lệ lo âu ở Việt Nam thuộc nhóm cao nhất thế giới dù Đông Nam Á tỷ lệ thấp nhất</w:t>
      </w:r>
    </w:p>
    <w:p>
      <w:r>
        <w:rPr>
          <w:rFonts w:ascii="Times New Roman" w:hAnsi="Times New Roman"/>
          <w:sz w:val="24"/>
        </w:rPr>
        <w:t>Nghiên cứu GSHS trên 59 quốc gia cho thấy Đông Nam Á có tỷ lệ lo âu thấp nhất (3,78%). Tuy nhiên, các nghiên cứu riêng tại Việt Nam ghi nhận tỷ lệ 25,4–86,2%, cao hơn nhiều lần. Sự chênh lệch này có thể do khác biệt công cụ đo (GSHS vs DASS-21/GAD-7), ngưỡng chẩn đoán, và bối cảnh COVID-19. Điều này đặt ra câu hỏi về tính so sánh giữa các công cụ sàng lọc quốc tế và quốc gia.</w:t>
      </w:r>
    </w:p>
    <w:p>
      <w:r>
        <w:rPr>
          <w:rFonts w:ascii="Times New Roman" w:hAnsi="Times New Roman"/>
          <w:b/>
          <w:sz w:val="24"/>
        </w:rPr>
        <w:t>2. COVID-19 làm tăng đáng kể SKTT nhưng có xu hướng hồi phục</w:t>
      </w:r>
    </w:p>
    <w:p>
      <w:r>
        <w:rPr>
          <w:rFonts w:ascii="Times New Roman" w:hAnsi="Times New Roman"/>
          <w:sz w:val="24"/>
        </w:rPr>
        <w:t>Nghiên cứu trên 8.473 VTN Việt Nam cho thấy lo âu giảm từ 41,5% (trong dịch) xuống 25,4% (sau dịch), trầm cảm giảm từ 34,2% xuống 20,1%. Tuy nhiên, mức sau dịch vẫn cao, cho thấy hậu quả SKTT kéo dài. Đây là một trong số ít nghiên cứu so sánh trực tiếp hai giai đoạn tại Việt Nam với cỡ mẫu lớn.</w:t>
      </w:r>
    </w:p>
    <w:p>
      <w:r>
        <w:rPr>
          <w:rFonts w:ascii="Times New Roman" w:hAnsi="Times New Roman"/>
          <w:b/>
          <w:sz w:val="24"/>
        </w:rPr>
        <w:t>3. Học sinh dân tộc thiểu số – nhóm dễ bị tổn thương nhất</w:t>
      </w:r>
    </w:p>
    <w:p>
      <w:r>
        <w:rPr>
          <w:rFonts w:ascii="Times New Roman" w:hAnsi="Times New Roman"/>
          <w:sz w:val="24"/>
        </w:rPr>
        <w:t>Tỷ lệ lo âu 54,4% và trầm cảm 59,0% ở HS dân tộc thiểu số Lạng Sơn là mức cao đáng báo động. Gần một nửa (48,9%) từng trải qua ACEs. Nhóm này ít được nghiên cứu và ít tiếp cận dịch vụ SKTT, nhưng lại có nhu cầu can thiệp lớn nhất. Kết quả cho thấy chính sách SKTT học đường cần ưu tiên vùng dân tộc thiểu số.</w:t>
      </w:r>
    </w:p>
    <w:p>
      <w:r>
        <w:rPr>
          <w:rFonts w:ascii="Times New Roman" w:hAnsi="Times New Roman"/>
          <w:b/>
          <w:sz w:val="24"/>
        </w:rPr>
        <w:t>4. Căng thẳng học tập tăng dần theo năm học – bằng chứng từ nghiên cứu dọc</w:t>
      </w:r>
    </w:p>
    <w:p>
      <w:r>
        <w:rPr>
          <w:rFonts w:ascii="Times New Roman" w:hAnsi="Times New Roman"/>
          <w:sz w:val="24"/>
        </w:rPr>
        <w:t>Nghiên cứu dọc 3 năm tại Huế cho thấy điểm ESSA tăng từ 46,4 lên 53,5 (tăng 15,3%). Đây là bằng chứng hiếm hoi từ nghiên cứu dọc tại Việt Nam, xác nhận căng thẳng tích lũy theo thời gian. Yếu tố "học thêm" có tác động mạnh nhất (β = 4,73), gợi ý văn hóa học thêm tại Việt Nam có thể gây hại.</w:t>
      </w:r>
    </w:p>
    <w:p>
      <w:r>
        <w:rPr>
          <w:rFonts w:ascii="Times New Roman" w:hAnsi="Times New Roman"/>
          <w:b/>
          <w:sz w:val="24"/>
        </w:rPr>
        <w:t>5. Giới tính nữ là yếu tố nguy cơ nhất quán nhất</w:t>
      </w:r>
    </w:p>
    <w:p>
      <w:r>
        <w:rPr>
          <w:rFonts w:ascii="Times New Roman" w:hAnsi="Times New Roman"/>
          <w:sz w:val="24"/>
        </w:rPr>
        <w:t>Hầu hết các nghiên cứu xác nhận nữ giới có tỷ lệ lo âu, trầm cảm và căng thẳng cao hơn nam giới. Tại Việt Nam, Đông Nam Á và toàn cầu, xu hướng này nhất quán. Ngoại lệ duy nhất là nghiên cứu tại Trung Quốc (Dong và cs.) không tìm thấy sự khác biệt có ý nghĩa theo giới. Nguyên nhân có thể liên quan đến áp lực xã hội, kỳ vọng giới, và cơ chế sinh học.</w:t>
      </w:r>
    </w:p>
    <w:p>
      <w:r>
        <w:rPr>
          <w:rFonts w:ascii="Times New Roman" w:hAnsi="Times New Roman"/>
          <w:b/>
          <w:sz w:val="24"/>
        </w:rPr>
        <w:t>6. Can thiệp tại trường hiệu quả cho trầm cảm nhưng kém cho lo âu</w:t>
      </w:r>
    </w:p>
    <w:p>
      <w:r>
        <w:rPr>
          <w:rFonts w:ascii="Times New Roman" w:hAnsi="Times New Roman"/>
          <w:sz w:val="24"/>
        </w:rPr>
        <w:t>Tổng quan hệ thống 6 RCTs tại LMIC cho thấy 3/4 nghiên cứu cải thiện trầm cảm, nhưng chỉ 1/4 giảm lo âu. Điều này gợi ý lo âu có cơ chế phức tạp hơn, đòi hỏi can thiệp đa tầng (không chỉ CBT tại trường). Đặc biệt, chưa có RCT nào từ nước thu nhập thấp, cho thấy khoảng trống lớn về bằng chứng.</w:t>
      </w:r>
    </w:p>
    <w:p>
      <w:r>
        <w:rPr>
          <w:rFonts w:ascii="Times New Roman" w:hAnsi="Times New Roman"/>
          <w:b/>
          <w:sz w:val="24"/>
        </w:rPr>
        <w:t>7. Mối quan hệ gia đình là yếu tố bảo vệ mạnh nhất</w:t>
      </w:r>
    </w:p>
    <w:p>
      <w:r>
        <w:rPr>
          <w:rFonts w:ascii="Times New Roman" w:hAnsi="Times New Roman"/>
          <w:sz w:val="24"/>
        </w:rPr>
        <w:t>Tại Trung Quốc, HS có người thân tâm sự có nguy cơ trầm cảm thấp hơn 78% (OR = 0,22), lo âu thấp hơn 73% (OR = 0,27). Tại Việt Nam, chất lượng quan hệ cha mẹ–con là yếu tố bảo vệ hàng đầu. Phát hiện này nhất quán ở mọi bối cảnh văn hóa, gợi ý can thiệp gia đình nên là trụ cột trong mọi chương trình SKTT học đường.</w:t>
      </w:r>
    </w:p>
    <w:p/>
    <w:p>
      <w:pPr>
        <w:pStyle w:val="Heading1"/>
      </w:pPr>
      <w:r>
        <w:rPr>
          <w:rFonts w:ascii="Times New Roman" w:hAnsi="Times New Roman"/>
          <w:color w:val="000000"/>
        </w:rPr>
        <w:t>III. PHẢN BIỆN</w:t>
      </w:r>
    </w:p>
    <w:p>
      <w:r>
        <w:rPr>
          <w:rFonts w:ascii="Times New Roman" w:hAnsi="Times New Roman"/>
          <w:b/>
          <w:sz w:val="24"/>
        </w:rPr>
        <w:t>Bài 1 – Phạm Thị Thu Hoa và cs. (2024)</w:t>
      </w:r>
    </w:p>
    <w:p>
      <w:r>
        <w:rPr>
          <w:rFonts w:ascii="Times New Roman" w:hAnsi="Times New Roman"/>
          <w:sz w:val="24"/>
        </w:rPr>
        <w:t>Ưu điểm: cỡ mẫu lớn (n = 3.910), phương pháp hỗn hợp, công cụ GAD-7 đã được chuẩn hóa. Hạn chế: nghiên cứu chỉ tại Hà Nội, thời điểm khảo sát (lockdown COVID-19) có thể phóng đại tỷ lệ lo âu. Mẫu thiên lệch vùng đô thị, không đại diện cho học sinh nông thôn. Phần định tính chỉ có 20 HS, chưa đủ để tổng quát hóa chiến lược ứng phó. Cần lặp lại nghiên cứu ở các tỉnh khác và so sánh trước-sau COVID.</w:t>
      </w:r>
    </w:p>
    <w:p>
      <w:r>
        <w:rPr>
          <w:rFonts w:ascii="Times New Roman" w:hAnsi="Times New Roman"/>
          <w:b/>
          <w:sz w:val="24"/>
        </w:rPr>
        <w:t>Bài 2 – Ngô Anh Vinh và cs. (2024)</w:t>
      </w:r>
    </w:p>
    <w:p>
      <w:r>
        <w:rPr>
          <w:rFonts w:ascii="Times New Roman" w:hAnsi="Times New Roman"/>
          <w:sz w:val="24"/>
        </w:rPr>
        <w:t>Ưu điểm: tập trung vào nhóm dân tộc thiểu số ít được nghiên cứu, kết hợp đánh giá ACEs. Hạn chế: chỉ có HS nội trú tại Lạng Sơn, không đại diện cho toàn bộ DTTS Việt Nam. DASS-21 chưa được chuẩn hóa đặc thù cho DTTS, có thể có lệch văn hóa. Thiếu nhóm đối chứng (HS Kinh cùng khu vực). Nghiên cứu cắt ngang không thể xác định quan hệ nhân quả ACEs→lo âu.</w:t>
      </w:r>
    </w:p>
    <w:p>
      <w:r>
        <w:rPr>
          <w:rFonts w:ascii="Times New Roman" w:hAnsi="Times New Roman"/>
          <w:b/>
          <w:sz w:val="24"/>
        </w:rPr>
        <w:t>Bài 3 – Trần Thảo Vi và cs. (2024)</w:t>
      </w:r>
    </w:p>
    <w:p>
      <w:r>
        <w:rPr>
          <w:rFonts w:ascii="Times New Roman" w:hAnsi="Times New Roman"/>
          <w:sz w:val="24"/>
        </w:rPr>
        <w:t>Ưu điểm hiếm có: thiết kế dọc 3 năm, theo dõi sự thay đổi theo thời gian. Hạn chế: mất mẫu đáng kể (611→341, mất 44,2%), có thể gây thiên lệch chọn. Chỉ ở Huế, 4 trường. Thang ESSA đo căng thẳng học tập chứ không phải lo âu lâm sàng. Lần cuối trùng COVID-19, khó tách tác động dịch với xu hướng tự nhiên. Tạp chí IF thấp (~1,0).</w:t>
      </w:r>
    </w:p>
    <w:p>
      <w:r>
        <w:rPr>
          <w:rFonts w:ascii="Times New Roman" w:hAnsi="Times New Roman"/>
          <w:b/>
          <w:sz w:val="24"/>
        </w:rPr>
        <w:t>Bài 4 – Nguyễn Ngọc Bảo Quyên và cs. (2025)</w:t>
      </w:r>
    </w:p>
    <w:p>
      <w:r>
        <w:rPr>
          <w:rFonts w:ascii="Times New Roman" w:hAnsi="Times New Roman"/>
          <w:sz w:val="24"/>
        </w:rPr>
        <w:t>Hạn chế lớn nhất: tỷ lệ lo âu 86,2% cao bất thường, có thể do khảo sát trực tuyến (tự chọn, thiên lệch chọn mẫu) và ngưỡng cắt DASS-21 quá thấp. Cỡ mẫu nhỏ (n = 501) và chỉ tại Hà Nội. Tạp chí trong nước, chưa qua peer-review quốc tế. Kết quả nên được diễn giải cẩn thận: DASS-21 sàng lọc chứ không chẩn đoán. Cần nghiên cứu xác nhận với phỏng vấn lâm sàng.</w:t>
      </w:r>
    </w:p>
    <w:p>
      <w:r>
        <w:rPr>
          <w:rFonts w:ascii="Times New Roman" w:hAnsi="Times New Roman"/>
          <w:b/>
          <w:sz w:val="24"/>
        </w:rPr>
        <w:t>Bài 5 – Hoàng Trung Học &amp; Nguyễn Thùy Dung (2025)</w:t>
      </w:r>
    </w:p>
    <w:p>
      <w:r>
        <w:rPr>
          <w:rFonts w:ascii="Times New Roman" w:hAnsi="Times New Roman"/>
          <w:sz w:val="24"/>
        </w:rPr>
        <w:t>Ưu điểm: cỡ mẫu rất lớn (n = 8.473), 6 tỉnh, so sánh hai giai đoạn. Hạn chế: hai nhóm so sánh có thể là hai mẫu khác nhau (không phải theo dõi cùng nhóm), nên không thể kết luận "giảm" mà chỉ là "khác biệt giữa hai đợt khảo sát". Tạp chí quốc tế nhưng IF không rõ. Thiếu phân tích đa biến chi tiết cho từng tỉnh.</w:t>
      </w:r>
    </w:p>
    <w:p>
      <w:r>
        <w:rPr>
          <w:rFonts w:ascii="Times New Roman" w:hAnsi="Times New Roman"/>
          <w:b/>
          <w:sz w:val="24"/>
        </w:rPr>
        <w:t>Bài 6 – Sarfika và cs. (2025)</w:t>
      </w:r>
    </w:p>
    <w:p>
      <w:r>
        <w:rPr>
          <w:rFonts w:ascii="Times New Roman" w:hAnsi="Times New Roman"/>
          <w:sz w:val="24"/>
        </w:rPr>
        <w:t>Ưu điểm: đa trung tâm, áp dụng khung lý thuyết SCT. Hạn chế: chi tiết phương pháp và cỡ mẫu chưa rõ ràng trong bản tóm tắt. Chưa có thông tin về công cụ đo cụ thể và tỷ lệ đáp ứng. Kết quả giải thích phương sai cao (42,8–57,1%) nhưng cần kiểm tra overfitting. Cần truy cập toàn văn để đánh giá đầy đủ.</w:t>
      </w:r>
    </w:p>
    <w:p>
      <w:r>
        <w:rPr>
          <w:rFonts w:ascii="Times New Roman" w:hAnsi="Times New Roman"/>
          <w:b/>
          <w:sz w:val="24"/>
        </w:rPr>
        <w:t>Bài 7 – Ayeras và cs. (2024)</w:t>
      </w:r>
    </w:p>
    <w:p>
      <w:r>
        <w:rPr>
          <w:rFonts w:ascii="Times New Roman" w:hAnsi="Times New Roman"/>
          <w:sz w:val="24"/>
        </w:rPr>
        <w:t>Hạn chế rõ nhất: cỡ mẫu rất nhỏ (n = 12), chỉ tại một trường. Nghiên cứu hiện tượng học không thể tổng quát hóa. Tạp chí IF rất thấp. Tuy nhiên, cung cấp góc nhìn sâu về trải nghiệm chủ quan của HS có lo âu xã hội, bổ sung cho nghiên cứu định lượng. Cần nghiên cứu định lượng lớn tại Philippines để xác nhận.</w:t>
      </w:r>
    </w:p>
    <w:p>
      <w:r>
        <w:rPr>
          <w:rFonts w:ascii="Times New Roman" w:hAnsi="Times New Roman"/>
          <w:b/>
          <w:sz w:val="24"/>
        </w:rPr>
        <w:t>Bài 8 – Islam và cs. (2026)</w:t>
      </w:r>
    </w:p>
    <w:p>
      <w:r>
        <w:rPr>
          <w:rFonts w:ascii="Times New Roman" w:hAnsi="Times New Roman"/>
          <w:sz w:val="24"/>
        </w:rPr>
        <w:t>Ưu điểm vượt trội: cỡ mẫu khổng lồ (n = 179.937), 59 quốc gia, dữ liệu GSHS chuẩn hóa. Hạn chế: dữ liệu GSHS thu thập nhiều năm khác nhau, một số quốc gia có dữ liệu cũ. Tỷ lệ thấp ở Đông Nam Á (3,78%) mâu thuẫn với các nghiên cứu riêng lẻ tại Việt Nam, Indonesia, có thể do GSHS sử dụng câu hỏi sàng lọc đơn giản thay vì thang đo chuẩn hóa.</w:t>
      </w:r>
    </w:p>
    <w:p>
      <w:r>
        <w:rPr>
          <w:rFonts w:ascii="Times New Roman" w:hAnsi="Times New Roman"/>
          <w:b/>
          <w:sz w:val="24"/>
        </w:rPr>
        <w:t>Bài 9 – Dong, Wang &amp; Lin (2025)</w:t>
      </w:r>
    </w:p>
    <w:p>
      <w:r>
        <w:rPr>
          <w:rFonts w:ascii="Times New Roman" w:hAnsi="Times New Roman"/>
          <w:sz w:val="24"/>
        </w:rPr>
        <w:t>Ưu điểm: cỡ mẫu tốt (n = 2.716), phân tích đa biến chi tiết. Hạn chế: chỉ tại Ya'an (một thành phố), nghiên cứu cắt ngang. Thời điểm tháng 3–6/2022 trùng với chính sách Zero-COVID Trung Quốc, có thể phóng đại kết quả. Kết quả giới tính không có ý nghĩa – khác với hầu hết nghiên cứu khác, cần giải thích thêm.</w:t>
      </w:r>
    </w:p>
    <w:p>
      <w:r>
        <w:rPr>
          <w:rFonts w:ascii="Times New Roman" w:hAnsi="Times New Roman"/>
          <w:b/>
          <w:sz w:val="24"/>
        </w:rPr>
        <w:t>Bài 10 – Salari và cs. (2024)</w:t>
      </w:r>
    </w:p>
    <w:p>
      <w:r>
        <w:rPr>
          <w:rFonts w:ascii="Times New Roman" w:hAnsi="Times New Roman"/>
          <w:sz w:val="24"/>
        </w:rPr>
        <w:t>Ưu điểm: meta-analysis 38 nghiên cứu, phương pháp random-effects. Hạn chế: tập trung vào SAD (lo âu xã hội), không bao phủ các dạng lo âu khác (lo âu tổng quát, lo âu thi cử). Thiếu thông tin về tính không đồng nhất (I²) trong bản tóm tắt. IF tạp chí trung bình. Cần bổ sung meta-analysis cho GAD, lo âu thi cử riêng biệt.</w:t>
      </w:r>
    </w:p>
    <w:p>
      <w:r>
        <w:rPr>
          <w:rFonts w:ascii="Times New Roman" w:hAnsi="Times New Roman"/>
          <w:b/>
          <w:sz w:val="24"/>
        </w:rPr>
        <w:t>Bài 11 – Zhameden và cs. (2025)</w:t>
      </w:r>
    </w:p>
    <w:p>
      <w:r>
        <w:rPr>
          <w:rFonts w:ascii="Times New Roman" w:hAnsi="Times New Roman"/>
          <w:sz w:val="24"/>
        </w:rPr>
        <w:t>Ưu điểm: tập trung LMIC, đánh giá GRADE. Hạn chế nghiêm trọng: chỉ 6 RCTs, chất lượng "rất thấp". Không có nghiên cứu từ nước thu nhập thấp. 4/6 dùng CBT – thiếu đa dạng phương pháp. Chưa có RCT nào từ Việt Nam hay Đông Nam Á ngoài Malaysia. Khoảng trống bằng chứng rất lớn, mở ra cơ hội nghiên cứu quan trọng.</w:t>
      </w:r>
    </w:p>
    <w:p/>
    <w:p>
      <w:pPr>
        <w:pStyle w:val="Heading1"/>
      </w:pPr>
      <w:r>
        <w:rPr>
          <w:rFonts w:ascii="Times New Roman" w:hAnsi="Times New Roman"/>
          <w:color w:val="000000"/>
        </w:rPr>
        <w:t>IV. HƯỚNG NGHIÊN CỨU TƯƠNG LAI</w:t>
      </w:r>
    </w:p>
    <w:p>
      <w:r>
        <w:rPr>
          <w:rFonts w:ascii="Times New Roman" w:hAnsi="Times New Roman"/>
          <w:b/>
          <w:sz w:val="24"/>
        </w:rPr>
        <w:t>A. Nhóm phương pháp luận</w:t>
      </w:r>
    </w:p>
    <w:p>
      <w:r>
        <w:rPr>
          <w:rFonts w:ascii="Times New Roman" w:hAnsi="Times New Roman"/>
          <w:sz w:val="24"/>
        </w:rPr>
        <w:t>1. Nghiên cứu dọc quy mô lớn tại Việt Nam: Thiếu vắng nghiên cứu dọc theo dõi HS từ THCS đến THPT (4–6 năm) với cỡ mẫu đại diện quốc gia. Nghiên cứu dọc cho phép xác định quan hệ nhân quả và điểm chuyển tiếp nguy cơ. Đề xuất: theo dõi ≥2.000 HS tại 10+ tỉnh, đo mỗi 6 tháng.</w:t>
      </w:r>
    </w:p>
    <w:p>
      <w:r>
        <w:rPr>
          <w:rFonts w:ascii="Times New Roman" w:hAnsi="Times New Roman"/>
          <w:sz w:val="24"/>
        </w:rPr>
        <w:t>2. So sánh công cụ đo lường: Các nghiên cứu sử dụng GAD-7, DASS-21, ESSA, GSHS cho kết quả rất khác nhau (3,78% vs 86,2%). Cần nghiên cứu so sánh trực tiếp các công cụ trên cùng một mẫu HS Việt Nam, xác định ngưỡng cắt phù hợp cho quần thể Việt.</w:t>
      </w:r>
    </w:p>
    <w:p>
      <w:r>
        <w:rPr>
          <w:rFonts w:ascii="Times New Roman" w:hAnsi="Times New Roman"/>
          <w:sz w:val="24"/>
        </w:rPr>
        <w:t>3. Nghiên cứu hỗn hợp sâu (mixed-methods): Kết hợp dữ liệu định lượng lớn với phỏng vấn sâu, nhật ký lo âu, và quan sát lớp học. Phương pháp này giúp hiểu "tại sao" và "như thế nào" HS lo âu, không chỉ "bao nhiêu phần trăm".</w:t>
      </w:r>
    </w:p>
    <w:p>
      <w:r>
        <w:rPr>
          <w:rFonts w:ascii="Times New Roman" w:hAnsi="Times New Roman"/>
          <w:b/>
          <w:sz w:val="24"/>
        </w:rPr>
        <w:t>B. Nhóm quần thể đặc biệt</w:t>
      </w:r>
    </w:p>
    <w:p>
      <w:r>
        <w:rPr>
          <w:rFonts w:ascii="Times New Roman" w:hAnsi="Times New Roman"/>
          <w:sz w:val="24"/>
        </w:rPr>
        <w:t>4. Học sinh dân tộc thiểu số – mở rộng: Chỉ có 1 nghiên cứu (Lạng Sơn). Cần mở rộng ra các tỉnh Tây Nguyên, Tây Bắc, Đồng bằng sông Cửu Long. So sánh DTTS vs Kinh cùng khu vực, kiểm soát SES. Đánh giá rào cản ngôn ngữ khi sử dụng công cụ sàng lọc tiếng Việt.</w:t>
      </w:r>
    </w:p>
    <w:p>
      <w:r>
        <w:rPr>
          <w:rFonts w:ascii="Times New Roman" w:hAnsi="Times New Roman"/>
          <w:sz w:val="24"/>
        </w:rPr>
        <w:t>5. Học sinh LGBT+ và lo âu: Chưa có nghiên cứu nào trong 11 bài đề cập HS LGBT+. Nghiên cứu quốc tế cho thấy nhóm này có tỷ lệ lo âu cao gấp 2–3 lần. Đây là khoảng trống lớn tại Việt Nam và Đông Nam Á.</w:t>
      </w:r>
    </w:p>
    <w:p>
      <w:r>
        <w:rPr>
          <w:rFonts w:ascii="Times New Roman" w:hAnsi="Times New Roman"/>
          <w:sz w:val="24"/>
        </w:rPr>
        <w:t>6. Học sinh khuyết tật và lo âu: Nhóm HS khuyết tật (học tập, thể chất, giác quan) hầu như vắng bóng trong nghiên cứu lo âu tại khu vực. Cần nghiên cứu đánh giá tác động kép: khuyết tật + lo âu.</w:t>
      </w:r>
    </w:p>
    <w:p>
      <w:r>
        <w:rPr>
          <w:rFonts w:ascii="Times New Roman" w:hAnsi="Times New Roman"/>
          <w:b/>
          <w:sz w:val="24"/>
        </w:rPr>
        <w:t>C. Nhóm yếu tố nguyên nhân</w:t>
      </w:r>
    </w:p>
    <w:p>
      <w:r>
        <w:rPr>
          <w:rFonts w:ascii="Times New Roman" w:hAnsi="Times New Roman"/>
          <w:sz w:val="24"/>
        </w:rPr>
        <w:t>7. Tác động của mạng xã hội và thiết bị điện tử: Nhiều nghiên cứu xác nhận liên quan giữa sử dụng thiết bị điện tử quá mức và lo âu, nhưng chưa có nghiên cứu can thiệp (RCT giảm thời gian sử dụng → đo lo âu). Đề xuất: RCT "digital detox" tại trường học Việt Nam.</w:t>
      </w:r>
    </w:p>
    <w:p>
      <w:r>
        <w:rPr>
          <w:rFonts w:ascii="Times New Roman" w:hAnsi="Times New Roman"/>
          <w:sz w:val="24"/>
        </w:rPr>
        <w:t>8. Áp lực học thêm – yếu tố đặc thù Việt Nam: Nghiên cứu tại Huế cho thấy "học thêm" có β cao nhất (4,73). Cần nghiên cứu sâu về cơ chế: học thêm làm tăng lo âu qua quá tải nhận thức, giảm thời gian nghỉ, hay tăng so sánh xã hội?</w:t>
      </w:r>
    </w:p>
    <w:p>
      <w:r>
        <w:rPr>
          <w:rFonts w:ascii="Times New Roman" w:hAnsi="Times New Roman"/>
          <w:sz w:val="24"/>
        </w:rPr>
        <w:t>9. Vai trò của ACEs ở quần thể chung: Nghiên cứu ACEs mới chỉ ở DTTS. Cần mở rộng đánh giá ACEs ở HS Kinh tại đô thị và nông thôn, đặc biệt các hình thức bạo lực gia đình tinh vi hơn (bạo lực tinh thần, kỳ vọng quá mức).</w:t>
      </w:r>
    </w:p>
    <w:p>
      <w:r>
        <w:rPr>
          <w:rFonts w:ascii="Times New Roman" w:hAnsi="Times New Roman"/>
          <w:b/>
          <w:sz w:val="24"/>
        </w:rPr>
        <w:t>D. Nhóm can thiệp</w:t>
      </w:r>
    </w:p>
    <w:p>
      <w:r>
        <w:rPr>
          <w:rFonts w:ascii="Times New Roman" w:hAnsi="Times New Roman"/>
          <w:sz w:val="24"/>
        </w:rPr>
        <w:t>10. RCT can thiệp tại trường học Việt Nam: Chưa có RCT nào về can thiệp SKTT tại trường học Việt Nam. Đề xuất: thử nghiệm CBT nhóm, mindfulness, hoặc giáo dục cảm xúc–xã hội (SEL) tại 10+ trường THCS/THPT, theo dõi 6–12 tháng.</w:t>
      </w:r>
    </w:p>
    <w:p>
      <w:r>
        <w:rPr>
          <w:rFonts w:ascii="Times New Roman" w:hAnsi="Times New Roman"/>
          <w:sz w:val="24"/>
        </w:rPr>
        <w:t>11. Can thiệp gia đình: Yếu tố gia đình là bảo vệ mạnh nhất (OR = 0,22). Cần nghiên cứu can thiệp: đào tạo kỹ năng giao tiếp cho phụ huynh, chương trình phối hợp gia đình–nhà trường, hỗ trợ phụ huynh nhận biết dấu hiệu lo âu.</w:t>
      </w:r>
    </w:p>
    <w:p>
      <w:r>
        <w:rPr>
          <w:rFonts w:ascii="Times New Roman" w:hAnsi="Times New Roman"/>
          <w:sz w:val="24"/>
        </w:rPr>
        <w:t>12. Can thiệp dựa trên công nghệ: Ứng dụng di động (app) tự hướng dẫn CBT, chatbot hỗ trợ SKTT, telepsychology cho HS vùng sâu vùng xa. Đặc biệt phù hợp với Việt Nam – tỷ lệ smartphone cao ngay cả ở nông thôn.</w:t>
      </w:r>
    </w:p>
    <w:p>
      <w:r>
        <w:rPr>
          <w:rFonts w:ascii="Times New Roman" w:hAnsi="Times New Roman"/>
          <w:sz w:val="24"/>
        </w:rPr>
        <w:t>13. Đánh giá hiệu quả kinh tế (cost-effectiveness): Chưa có nghiên cứu nào đánh giá chi phí–lợi ích của can thiệp SKTT học đường tại Việt Nam. Đây là thông tin cần thiết để thuyết phục chính sách đầu tư.</w:t>
      </w:r>
    </w:p>
    <w:p/>
    <w:p>
      <w:pPr>
        <w:pStyle w:val="Heading1"/>
      </w:pPr>
      <w:r>
        <w:rPr>
          <w:rFonts w:ascii="Times New Roman" w:hAnsi="Times New Roman"/>
          <w:color w:val="000000"/>
        </w:rPr>
        <w:t>V. DANH SÁCH BÀI CẦN ĐỌC THÊM</w:t>
      </w:r>
    </w:p>
    <w:p>
      <w:r>
        <w:rPr>
          <w:rFonts w:ascii="Times New Roman" w:hAnsi="Times New Roman"/>
          <w:b/>
          <w:sz w:val="24"/>
        </w:rPr>
        <w:t>Nhóm A: Dịch tễ học lo âu ở VTN Đông Nam Á và LMIC</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340"/>
            <w:shd w:fill="D9E2F3" w:val="clear"/>
          </w:tcPr>
          <w:p>
            <w:pPr>
              <w:jc w:val="center"/>
            </w:pPr>
            <w:r>
              <w:rPr>
                <w:rFonts w:ascii="Times New Roman" w:hAnsi="Times New Roman"/>
                <w:b/>
                <w:sz w:val="22"/>
              </w:rPr>
              <w:t>#</w:t>
            </w:r>
          </w:p>
        </w:tc>
        <w:tc>
          <w:tcPr>
            <w:tcW w:type="dxa" w:w="1417"/>
            <w:shd w:fill="D9E2F3" w:val="clear"/>
          </w:tcPr>
          <w:p>
            <w:pPr>
              <w:jc w:val="center"/>
            </w:pPr>
            <w:r>
              <w:rPr>
                <w:rFonts w:ascii="Times New Roman" w:hAnsi="Times New Roman"/>
                <w:b/>
                <w:sz w:val="22"/>
              </w:rPr>
              <w:t>Tác giả</w:t>
            </w:r>
          </w:p>
        </w:tc>
        <w:tc>
          <w:tcPr>
            <w:tcW w:type="dxa" w:w="454"/>
            <w:shd w:fill="D9E2F3" w:val="clear"/>
          </w:tcPr>
          <w:p>
            <w:pPr>
              <w:jc w:val="center"/>
            </w:pPr>
            <w:r>
              <w:rPr>
                <w:rFonts w:ascii="Times New Roman" w:hAnsi="Times New Roman"/>
                <w:b/>
                <w:sz w:val="22"/>
              </w:rPr>
              <w:t>Năm</w:t>
            </w:r>
          </w:p>
        </w:tc>
        <w:tc>
          <w:tcPr>
            <w:tcW w:type="dxa" w:w="1587"/>
            <w:shd w:fill="D9E2F3" w:val="clear"/>
          </w:tcPr>
          <w:p>
            <w:pPr>
              <w:jc w:val="center"/>
            </w:pPr>
            <w:r>
              <w:rPr>
                <w:rFonts w:ascii="Times New Roman" w:hAnsi="Times New Roman"/>
                <w:b/>
                <w:sz w:val="22"/>
              </w:rPr>
              <w:t>Tạp chí</w:t>
            </w:r>
          </w:p>
        </w:tc>
        <w:tc>
          <w:tcPr>
            <w:tcW w:type="dxa" w:w="5272"/>
            <w:shd w:fill="D9E2F3" w:val="clear"/>
          </w:tcPr>
          <w:p>
            <w:pPr>
              <w:jc w:val="center"/>
            </w:pPr>
            <w:r>
              <w:rPr>
                <w:rFonts w:ascii="Times New Roman" w:hAnsi="Times New Roman"/>
                <w:b/>
                <w:sz w:val="22"/>
              </w:rPr>
              <w:t>Nội dung</w:t>
            </w:r>
          </w:p>
        </w:tc>
      </w:tr>
      <w:tr>
        <w:tc>
          <w:tcPr>
            <w:tcW w:type="dxa" w:w="340"/>
          </w:tcPr>
          <w:p>
            <w:r>
              <w:rPr>
                <w:rFonts w:ascii="Times New Roman" w:hAnsi="Times New Roman"/>
                <w:sz w:val="22"/>
              </w:rPr>
              <w:t>1</w:t>
            </w:r>
          </w:p>
        </w:tc>
        <w:tc>
          <w:tcPr>
            <w:tcW w:type="dxa" w:w="1417"/>
          </w:tcPr>
          <w:p>
            <w:r>
              <w:rPr>
                <w:rFonts w:ascii="Times New Roman" w:hAnsi="Times New Roman"/>
                <w:sz w:val="22"/>
              </w:rPr>
              <w:t>Anderson C.A.</w:t>
            </w:r>
          </w:p>
        </w:tc>
        <w:tc>
          <w:tcPr>
            <w:tcW w:type="dxa" w:w="454"/>
          </w:tcPr>
          <w:p>
            <w:r>
              <w:rPr>
                <w:rFonts w:ascii="Times New Roman" w:hAnsi="Times New Roman"/>
                <w:sz w:val="22"/>
              </w:rPr>
              <w:t>2025</w:t>
            </w:r>
          </w:p>
        </w:tc>
        <w:tc>
          <w:tcPr>
            <w:tcW w:type="dxa" w:w="1587"/>
          </w:tcPr>
          <w:p>
            <w:r>
              <w:rPr>
                <w:rFonts w:ascii="Times New Roman" w:hAnsi="Times New Roman"/>
                <w:sz w:val="22"/>
              </w:rPr>
              <w:t>J Child Adolesc Psychiatric Nursing</w:t>
            </w:r>
          </w:p>
        </w:tc>
        <w:tc>
          <w:tcPr>
            <w:tcW w:type="dxa" w:w="5272"/>
          </w:tcPr>
          <w:p>
            <w:r>
              <w:rPr>
                <w:rFonts w:ascii="Times New Roman" w:hAnsi="Times New Roman"/>
                <w:sz w:val="22"/>
              </w:rPr>
              <w:t>Tổng quan tường thuật về các yếu tố góp phần vào gia tăng lo âu ở VTN. Phân tích 61 bài báo, xác nhận tỷ lệ tăng so với trước đại dịch. Thế hệ Z có tỷ lệ lo âu cao nhất trong 3 thế hệ gần đây.</w:t>
            </w:r>
          </w:p>
        </w:tc>
      </w:tr>
      <w:tr>
        <w:tc>
          <w:tcPr>
            <w:tcW w:type="dxa" w:w="340"/>
          </w:tcPr>
          <w:p>
            <w:r>
              <w:rPr>
                <w:rFonts w:ascii="Times New Roman" w:hAnsi="Times New Roman"/>
                <w:sz w:val="22"/>
              </w:rPr>
              <w:t>2</w:t>
            </w:r>
          </w:p>
        </w:tc>
        <w:tc>
          <w:tcPr>
            <w:tcW w:type="dxa" w:w="1417"/>
          </w:tcPr>
          <w:p>
            <w:r>
              <w:rPr>
                <w:rFonts w:ascii="Times New Roman" w:hAnsi="Times New Roman"/>
                <w:sz w:val="22"/>
              </w:rPr>
              <w:t>Lancet Regional Health SEA</w:t>
            </w:r>
          </w:p>
        </w:tc>
        <w:tc>
          <w:tcPr>
            <w:tcW w:type="dxa" w:w="454"/>
          </w:tcPr>
          <w:p>
            <w:r>
              <w:rPr>
                <w:rFonts w:ascii="Times New Roman" w:hAnsi="Times New Roman"/>
                <w:sz w:val="22"/>
              </w:rPr>
              <w:t>2025</w:t>
            </w:r>
          </w:p>
        </w:tc>
        <w:tc>
          <w:tcPr>
            <w:tcW w:type="dxa" w:w="1587"/>
          </w:tcPr>
          <w:p>
            <w:r>
              <w:rPr>
                <w:rFonts w:ascii="Times New Roman" w:hAnsi="Times New Roman"/>
                <w:sz w:val="22"/>
              </w:rPr>
              <w:t>Lancet Reg Health SEA</w:t>
            </w:r>
          </w:p>
        </w:tc>
        <w:tc>
          <w:tcPr>
            <w:tcW w:type="dxa" w:w="5272"/>
          </w:tcPr>
          <w:p>
            <w:r>
              <w:rPr>
                <w:rFonts w:ascii="Times New Roman" w:hAnsi="Times New Roman"/>
                <w:sz w:val="22"/>
              </w:rPr>
              <w:t>Tổng quan hệ thống về bản chất, tỷ lệ và yếu tố quyết định SKTT ở VTN Nam Á. Tỷ lệ lo âu dao động 1,5–81,6% tùy phương pháp. Đánh giá khoảng trống nghiên cứu khu vực.</w:t>
            </w:r>
          </w:p>
        </w:tc>
      </w:tr>
      <w:tr>
        <w:tc>
          <w:tcPr>
            <w:tcW w:type="dxa" w:w="340"/>
          </w:tcPr>
          <w:p>
            <w:r>
              <w:rPr>
                <w:rFonts w:ascii="Times New Roman" w:hAnsi="Times New Roman"/>
                <w:sz w:val="22"/>
              </w:rPr>
              <w:t>3</w:t>
            </w:r>
          </w:p>
        </w:tc>
        <w:tc>
          <w:tcPr>
            <w:tcW w:type="dxa" w:w="1417"/>
          </w:tcPr>
          <w:p>
            <w:r>
              <w:rPr>
                <w:rFonts w:ascii="Times New Roman" w:hAnsi="Times New Roman"/>
                <w:sz w:val="22"/>
              </w:rPr>
              <w:t>UNICEF Việt Nam</w:t>
            </w:r>
          </w:p>
        </w:tc>
        <w:tc>
          <w:tcPr>
            <w:tcW w:type="dxa" w:w="454"/>
          </w:tcPr>
          <w:p>
            <w:r>
              <w:rPr>
                <w:rFonts w:ascii="Times New Roman" w:hAnsi="Times New Roman"/>
                <w:sz w:val="22"/>
              </w:rPr>
              <w:t>2022</w:t>
            </w:r>
          </w:p>
        </w:tc>
        <w:tc>
          <w:tcPr>
            <w:tcW w:type="dxa" w:w="1587"/>
          </w:tcPr>
          <w:p>
            <w:r>
              <w:rPr>
                <w:rFonts w:ascii="Times New Roman" w:hAnsi="Times New Roman"/>
                <w:sz w:val="22"/>
              </w:rPr>
              <w:t>UNICEF Report</w:t>
            </w:r>
          </w:p>
        </w:tc>
        <w:tc>
          <w:tcPr>
            <w:tcW w:type="dxa" w:w="5272"/>
          </w:tcPr>
          <w:p>
            <w:r>
              <w:rPr>
                <w:rFonts w:ascii="Times New Roman" w:hAnsi="Times New Roman"/>
                <w:sz w:val="22"/>
              </w:rPr>
              <w:t>Nghiên cứu về yếu tố trường học ảnh hưởng SKTT VTN Việt Nam. 1/5 VTN có vấn đề SKTT, chỉ 8,4% tiếp cận dịch vụ hỗ trợ. Chỉ 5,1% phụ huynh nhận ra con cần giúp đỡ.</w:t>
            </w:r>
          </w:p>
        </w:tc>
      </w:tr>
    </w:tbl>
    <w:p/>
    <w:p>
      <w:r>
        <w:rPr>
          <w:rFonts w:ascii="Times New Roman" w:hAnsi="Times New Roman"/>
          <w:b/>
          <w:sz w:val="24"/>
        </w:rPr>
        <w:t>Nhóm B: Phương pháp can thiệp tại trường học</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340"/>
            <w:shd w:fill="D9E2F3" w:val="clear"/>
          </w:tcPr>
          <w:p>
            <w:pPr>
              <w:jc w:val="center"/>
            </w:pPr>
            <w:r>
              <w:rPr>
                <w:rFonts w:ascii="Times New Roman" w:hAnsi="Times New Roman"/>
                <w:b/>
                <w:sz w:val="22"/>
              </w:rPr>
              <w:t>#</w:t>
            </w:r>
          </w:p>
        </w:tc>
        <w:tc>
          <w:tcPr>
            <w:tcW w:type="dxa" w:w="1417"/>
            <w:shd w:fill="D9E2F3" w:val="clear"/>
          </w:tcPr>
          <w:p>
            <w:pPr>
              <w:jc w:val="center"/>
            </w:pPr>
            <w:r>
              <w:rPr>
                <w:rFonts w:ascii="Times New Roman" w:hAnsi="Times New Roman"/>
                <w:b/>
                <w:sz w:val="22"/>
              </w:rPr>
              <w:t>Tác giả</w:t>
            </w:r>
          </w:p>
        </w:tc>
        <w:tc>
          <w:tcPr>
            <w:tcW w:type="dxa" w:w="454"/>
            <w:shd w:fill="D9E2F3" w:val="clear"/>
          </w:tcPr>
          <w:p>
            <w:pPr>
              <w:jc w:val="center"/>
            </w:pPr>
            <w:r>
              <w:rPr>
                <w:rFonts w:ascii="Times New Roman" w:hAnsi="Times New Roman"/>
                <w:b/>
                <w:sz w:val="22"/>
              </w:rPr>
              <w:t>Năm</w:t>
            </w:r>
          </w:p>
        </w:tc>
        <w:tc>
          <w:tcPr>
            <w:tcW w:type="dxa" w:w="1587"/>
            <w:shd w:fill="D9E2F3" w:val="clear"/>
          </w:tcPr>
          <w:p>
            <w:pPr>
              <w:jc w:val="center"/>
            </w:pPr>
            <w:r>
              <w:rPr>
                <w:rFonts w:ascii="Times New Roman" w:hAnsi="Times New Roman"/>
                <w:b/>
                <w:sz w:val="22"/>
              </w:rPr>
              <w:t>Tạp chí</w:t>
            </w:r>
          </w:p>
        </w:tc>
        <w:tc>
          <w:tcPr>
            <w:tcW w:type="dxa" w:w="5272"/>
            <w:shd w:fill="D9E2F3" w:val="clear"/>
          </w:tcPr>
          <w:p>
            <w:pPr>
              <w:jc w:val="center"/>
            </w:pPr>
            <w:r>
              <w:rPr>
                <w:rFonts w:ascii="Times New Roman" w:hAnsi="Times New Roman"/>
                <w:b/>
                <w:sz w:val="22"/>
              </w:rPr>
              <w:t>Nội dung</w:t>
            </w:r>
          </w:p>
        </w:tc>
      </w:tr>
      <w:tr>
        <w:tc>
          <w:tcPr>
            <w:tcW w:type="dxa" w:w="340"/>
          </w:tcPr>
          <w:p>
            <w:r>
              <w:rPr>
                <w:rFonts w:ascii="Times New Roman" w:hAnsi="Times New Roman"/>
                <w:sz w:val="22"/>
              </w:rPr>
              <w:t>4</w:t>
            </w:r>
          </w:p>
        </w:tc>
        <w:tc>
          <w:tcPr>
            <w:tcW w:type="dxa" w:w="1417"/>
          </w:tcPr>
          <w:p>
            <w:r>
              <w:rPr>
                <w:rFonts w:ascii="Times New Roman" w:hAnsi="Times New Roman"/>
                <w:sz w:val="22"/>
              </w:rPr>
              <w:t>Cai, Mei, Wang &amp; Luo</w:t>
            </w:r>
          </w:p>
        </w:tc>
        <w:tc>
          <w:tcPr>
            <w:tcW w:type="dxa" w:w="454"/>
          </w:tcPr>
          <w:p>
            <w:r>
              <w:rPr>
                <w:rFonts w:ascii="Times New Roman" w:hAnsi="Times New Roman"/>
                <w:sz w:val="22"/>
              </w:rPr>
              <w:t>2025</w:t>
            </w:r>
          </w:p>
        </w:tc>
        <w:tc>
          <w:tcPr>
            <w:tcW w:type="dxa" w:w="1587"/>
          </w:tcPr>
          <w:p>
            <w:r>
              <w:rPr>
                <w:rFonts w:ascii="Times New Roman" w:hAnsi="Times New Roman"/>
                <w:sz w:val="22"/>
              </w:rPr>
              <w:t>Frontiers Psychiatry (IF 4.7)</w:t>
            </w:r>
          </w:p>
        </w:tc>
        <w:tc>
          <w:tcPr>
            <w:tcW w:type="dxa" w:w="5272"/>
          </w:tcPr>
          <w:p>
            <w:r>
              <w:rPr>
                <w:rFonts w:ascii="Times New Roman" w:hAnsi="Times New Roman"/>
                <w:sz w:val="22"/>
              </w:rPr>
              <w:t>Meta-analysis 38 RCTs (15.730 người) về can thiệp tại trường tăng cường phục hồi cho trẻ/VTN. Hiệu quả nhỏ nhưng có ý nghĩa (SMD = 0,17). CBT, mindfulness, yoga đều có hiệu quả.</w:t>
            </w:r>
          </w:p>
        </w:tc>
      </w:tr>
      <w:tr>
        <w:tc>
          <w:tcPr>
            <w:tcW w:type="dxa" w:w="340"/>
          </w:tcPr>
          <w:p>
            <w:r>
              <w:rPr>
                <w:rFonts w:ascii="Times New Roman" w:hAnsi="Times New Roman"/>
                <w:sz w:val="22"/>
              </w:rPr>
              <w:t>5</w:t>
            </w:r>
          </w:p>
        </w:tc>
        <w:tc>
          <w:tcPr>
            <w:tcW w:type="dxa" w:w="1417"/>
          </w:tcPr>
          <w:p>
            <w:r>
              <w:rPr>
                <w:rFonts w:ascii="Times New Roman" w:hAnsi="Times New Roman"/>
                <w:sz w:val="22"/>
              </w:rPr>
              <w:t>Papageorgiou và cs.</w:t>
            </w:r>
          </w:p>
        </w:tc>
        <w:tc>
          <w:tcPr>
            <w:tcW w:type="dxa" w:w="454"/>
          </w:tcPr>
          <w:p>
            <w:r>
              <w:rPr>
                <w:rFonts w:ascii="Times New Roman" w:hAnsi="Times New Roman"/>
                <w:sz w:val="22"/>
              </w:rPr>
              <w:t>2025</w:t>
            </w:r>
          </w:p>
        </w:tc>
        <w:tc>
          <w:tcPr>
            <w:tcW w:type="dxa" w:w="1587"/>
          </w:tcPr>
          <w:p>
            <w:r>
              <w:rPr>
                <w:rFonts w:ascii="Times New Roman" w:hAnsi="Times New Roman"/>
                <w:sz w:val="22"/>
              </w:rPr>
              <w:t>Health Education Journal</w:t>
            </w:r>
          </w:p>
        </w:tc>
        <w:tc>
          <w:tcPr>
            <w:tcW w:type="dxa" w:w="5272"/>
          </w:tcPr>
          <w:p>
            <w:r>
              <w:rPr>
                <w:rFonts w:ascii="Times New Roman" w:hAnsi="Times New Roman"/>
                <w:sz w:val="22"/>
              </w:rPr>
              <w:t>Can thiệp giáo dục tâm lý tại trường phòng ngừa lo âu và căng thẳng dưới lâm sàng ở VTN. RCT tại Cyprus. CBT giảm lo âu ngắn hạn nhưng không duy trì sau 12 tháng.</w:t>
            </w:r>
          </w:p>
        </w:tc>
      </w:tr>
      <w:tr>
        <w:tc>
          <w:tcPr>
            <w:tcW w:type="dxa" w:w="340"/>
          </w:tcPr>
          <w:p>
            <w:r>
              <w:rPr>
                <w:rFonts w:ascii="Times New Roman" w:hAnsi="Times New Roman"/>
                <w:sz w:val="22"/>
              </w:rPr>
              <w:t>6</w:t>
            </w:r>
          </w:p>
        </w:tc>
        <w:tc>
          <w:tcPr>
            <w:tcW w:type="dxa" w:w="1417"/>
          </w:tcPr>
          <w:p>
            <w:r>
              <w:rPr>
                <w:rFonts w:ascii="Times New Roman" w:hAnsi="Times New Roman"/>
                <w:sz w:val="22"/>
              </w:rPr>
              <w:t>Frontiers Child Adolesc Psychiatry</w:t>
            </w:r>
          </w:p>
        </w:tc>
        <w:tc>
          <w:tcPr>
            <w:tcW w:type="dxa" w:w="454"/>
          </w:tcPr>
          <w:p>
            <w:r>
              <w:rPr>
                <w:rFonts w:ascii="Times New Roman" w:hAnsi="Times New Roman"/>
                <w:sz w:val="22"/>
              </w:rPr>
              <w:t>2025</w:t>
            </w:r>
          </w:p>
        </w:tc>
        <w:tc>
          <w:tcPr>
            <w:tcW w:type="dxa" w:w="1587"/>
          </w:tcPr>
          <w:p>
            <w:r>
              <w:rPr>
                <w:rFonts w:ascii="Times New Roman" w:hAnsi="Times New Roman"/>
                <w:sz w:val="22"/>
              </w:rPr>
              <w:t>Frontiers</w:t>
            </w:r>
          </w:p>
        </w:tc>
        <w:tc>
          <w:tcPr>
            <w:tcW w:type="dxa" w:w="5272"/>
          </w:tcPr>
          <w:p>
            <w:r>
              <w:rPr>
                <w:rFonts w:ascii="Times New Roman" w:hAnsi="Times New Roman"/>
                <w:sz w:val="22"/>
              </w:rPr>
              <w:t>Meta-analysis các can thiệp phổ quát tại trường cải thiện kết quả cảm xúc ở trẻ/thanh niên. So sánh targeted vs universal programs.</w:t>
            </w:r>
          </w:p>
        </w:tc>
      </w:tr>
    </w:tbl>
    <w:p/>
    <w:p>
      <w:r>
        <w:rPr>
          <w:rFonts w:ascii="Times New Roman" w:hAnsi="Times New Roman"/>
          <w:b/>
          <w:sz w:val="24"/>
        </w:rPr>
        <w:t>Nhóm C: Yếu tố nguy cơ và bảo vệ</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340"/>
            <w:shd w:fill="D9E2F3" w:val="clear"/>
          </w:tcPr>
          <w:p>
            <w:pPr>
              <w:jc w:val="center"/>
            </w:pPr>
            <w:r>
              <w:rPr>
                <w:rFonts w:ascii="Times New Roman" w:hAnsi="Times New Roman"/>
                <w:b/>
                <w:sz w:val="22"/>
              </w:rPr>
              <w:t>#</w:t>
            </w:r>
          </w:p>
        </w:tc>
        <w:tc>
          <w:tcPr>
            <w:tcW w:type="dxa" w:w="1417"/>
            <w:shd w:fill="D9E2F3" w:val="clear"/>
          </w:tcPr>
          <w:p>
            <w:pPr>
              <w:jc w:val="center"/>
            </w:pPr>
            <w:r>
              <w:rPr>
                <w:rFonts w:ascii="Times New Roman" w:hAnsi="Times New Roman"/>
                <w:b/>
                <w:sz w:val="22"/>
              </w:rPr>
              <w:t>Tác giả</w:t>
            </w:r>
          </w:p>
        </w:tc>
        <w:tc>
          <w:tcPr>
            <w:tcW w:type="dxa" w:w="454"/>
            <w:shd w:fill="D9E2F3" w:val="clear"/>
          </w:tcPr>
          <w:p>
            <w:pPr>
              <w:jc w:val="center"/>
            </w:pPr>
            <w:r>
              <w:rPr>
                <w:rFonts w:ascii="Times New Roman" w:hAnsi="Times New Roman"/>
                <w:b/>
                <w:sz w:val="22"/>
              </w:rPr>
              <w:t>Năm</w:t>
            </w:r>
          </w:p>
        </w:tc>
        <w:tc>
          <w:tcPr>
            <w:tcW w:type="dxa" w:w="1587"/>
            <w:shd w:fill="D9E2F3" w:val="clear"/>
          </w:tcPr>
          <w:p>
            <w:pPr>
              <w:jc w:val="center"/>
            </w:pPr>
            <w:r>
              <w:rPr>
                <w:rFonts w:ascii="Times New Roman" w:hAnsi="Times New Roman"/>
                <w:b/>
                <w:sz w:val="22"/>
              </w:rPr>
              <w:t>Tạp chí</w:t>
            </w:r>
          </w:p>
        </w:tc>
        <w:tc>
          <w:tcPr>
            <w:tcW w:type="dxa" w:w="5272"/>
            <w:shd w:fill="D9E2F3" w:val="clear"/>
          </w:tcPr>
          <w:p>
            <w:pPr>
              <w:jc w:val="center"/>
            </w:pPr>
            <w:r>
              <w:rPr>
                <w:rFonts w:ascii="Times New Roman" w:hAnsi="Times New Roman"/>
                <w:b/>
                <w:sz w:val="22"/>
              </w:rPr>
              <w:t>Nội dung</w:t>
            </w:r>
          </w:p>
        </w:tc>
      </w:tr>
      <w:tr>
        <w:tc>
          <w:tcPr>
            <w:tcW w:type="dxa" w:w="340"/>
          </w:tcPr>
          <w:p>
            <w:r>
              <w:rPr>
                <w:rFonts w:ascii="Times New Roman" w:hAnsi="Times New Roman"/>
                <w:sz w:val="22"/>
              </w:rPr>
              <w:t>7</w:t>
            </w:r>
          </w:p>
        </w:tc>
        <w:tc>
          <w:tcPr>
            <w:tcW w:type="dxa" w:w="1417"/>
          </w:tcPr>
          <w:p>
            <w:r>
              <w:rPr>
                <w:rFonts w:ascii="Times New Roman" w:hAnsi="Times New Roman"/>
                <w:sz w:val="22"/>
              </w:rPr>
              <w:t>Nguyễn Thị Thùy</w:t>
            </w:r>
          </w:p>
        </w:tc>
        <w:tc>
          <w:tcPr>
            <w:tcW w:type="dxa" w:w="454"/>
          </w:tcPr>
          <w:p>
            <w:r>
              <w:rPr>
                <w:rFonts w:ascii="Times New Roman" w:hAnsi="Times New Roman"/>
                <w:sz w:val="22"/>
              </w:rPr>
              <w:t>2023</w:t>
            </w:r>
          </w:p>
        </w:tc>
        <w:tc>
          <w:tcPr>
            <w:tcW w:type="dxa" w:w="1587"/>
          </w:tcPr>
          <w:p>
            <w:r>
              <w:rPr>
                <w:rFonts w:ascii="Times New Roman" w:hAnsi="Times New Roman"/>
                <w:sz w:val="22"/>
              </w:rPr>
              <w:t>Open Psychology J</w:t>
            </w:r>
          </w:p>
        </w:tc>
        <w:tc>
          <w:tcPr>
            <w:tcW w:type="dxa" w:w="5272"/>
          </w:tcPr>
          <w:p>
            <w:r>
              <w:rPr>
                <w:rFonts w:ascii="Times New Roman" w:hAnsi="Times New Roman"/>
                <w:sz w:val="22"/>
              </w:rPr>
              <w:t>Đặc điểm nhân cách và RLLA ở VTN Việt Nam: vai trò trung gian của hỗ trợ xã hội và lòng tự trọng. n=582 HS THCS. Loạn thần kinh tương quan r=0,56 với lo âu.</w:t>
            </w:r>
          </w:p>
        </w:tc>
      </w:tr>
      <w:tr>
        <w:tc>
          <w:tcPr>
            <w:tcW w:type="dxa" w:w="340"/>
          </w:tcPr>
          <w:p>
            <w:r>
              <w:rPr>
                <w:rFonts w:ascii="Times New Roman" w:hAnsi="Times New Roman"/>
                <w:sz w:val="22"/>
              </w:rPr>
              <w:t>8</w:t>
            </w:r>
          </w:p>
        </w:tc>
        <w:tc>
          <w:tcPr>
            <w:tcW w:type="dxa" w:w="1417"/>
          </w:tcPr>
          <w:p>
            <w:r>
              <w:rPr>
                <w:rFonts w:ascii="Times New Roman" w:hAnsi="Times New Roman"/>
                <w:sz w:val="22"/>
              </w:rPr>
              <w:t>Giang Thiên Vũ và cs.</w:t>
            </w:r>
          </w:p>
        </w:tc>
        <w:tc>
          <w:tcPr>
            <w:tcW w:type="dxa" w:w="454"/>
          </w:tcPr>
          <w:p>
            <w:r>
              <w:rPr>
                <w:rFonts w:ascii="Times New Roman" w:hAnsi="Times New Roman"/>
                <w:sz w:val="22"/>
              </w:rPr>
              <w:t>2023</w:t>
            </w:r>
          </w:p>
        </w:tc>
        <w:tc>
          <w:tcPr>
            <w:tcW w:type="dxa" w:w="1587"/>
          </w:tcPr>
          <w:p>
            <w:r>
              <w:rPr>
                <w:rFonts w:ascii="Times New Roman" w:hAnsi="Times New Roman"/>
                <w:sz w:val="22"/>
              </w:rPr>
              <w:t>HCMUE J Science (Vol. 20, No. 8)</w:t>
            </w:r>
          </w:p>
        </w:tc>
        <w:tc>
          <w:tcPr>
            <w:tcW w:type="dxa" w:w="5272"/>
          </w:tcPr>
          <w:p>
            <w:r>
              <w:rPr>
                <w:rFonts w:ascii="Times New Roman" w:hAnsi="Times New Roman"/>
                <w:sz w:val="22"/>
              </w:rPr>
              <w:t>SKTT VTN TP.HCM: sàng lọc nguy cơ và giải pháp. n=6.575, 21,13% lo âu nặng/rất nặng. Áp lực thi cử, thiếu hướng nghiệp là yếu tố chính.</w:t>
            </w:r>
          </w:p>
        </w:tc>
      </w:tr>
      <w:tr>
        <w:tc>
          <w:tcPr>
            <w:tcW w:type="dxa" w:w="340"/>
          </w:tcPr>
          <w:p>
            <w:r>
              <w:rPr>
                <w:rFonts w:ascii="Times New Roman" w:hAnsi="Times New Roman"/>
                <w:sz w:val="22"/>
              </w:rPr>
              <w:t>9</w:t>
            </w:r>
          </w:p>
        </w:tc>
        <w:tc>
          <w:tcPr>
            <w:tcW w:type="dxa" w:w="1417"/>
          </w:tcPr>
          <w:p>
            <w:r>
              <w:rPr>
                <w:rFonts w:ascii="Times New Roman" w:hAnsi="Times New Roman"/>
                <w:sz w:val="22"/>
              </w:rPr>
              <w:t>Nghiên cứu ResearchGate</w:t>
            </w:r>
          </w:p>
        </w:tc>
        <w:tc>
          <w:tcPr>
            <w:tcW w:type="dxa" w:w="454"/>
          </w:tcPr>
          <w:p>
            <w:r>
              <w:rPr>
                <w:rFonts w:ascii="Times New Roman" w:hAnsi="Times New Roman"/>
                <w:sz w:val="22"/>
              </w:rPr>
              <w:t>2024</w:t>
            </w:r>
          </w:p>
        </w:tc>
        <w:tc>
          <w:tcPr>
            <w:tcW w:type="dxa" w:w="1587"/>
          </w:tcPr>
          <w:p>
            <w:r>
              <w:rPr>
                <w:rFonts w:ascii="Times New Roman" w:hAnsi="Times New Roman"/>
                <w:sz w:val="22"/>
              </w:rPr>
              <w:t>ResearchGate</w:t>
            </w:r>
          </w:p>
        </w:tc>
        <w:tc>
          <w:tcPr>
            <w:tcW w:type="dxa" w:w="5272"/>
          </w:tcPr>
          <w:p>
            <w:r>
              <w:rPr>
                <w:rFonts w:ascii="Times New Roman" w:hAnsi="Times New Roman"/>
                <w:sz w:val="22"/>
              </w:rPr>
              <w:t>Áp lực học tập và lo âu ở HS THPT TP. Thủ Đức, TP.HCM. n=421, lo âu 35,6%. Mối liên quan áp lực→lo âu có ý nghĩa (p&lt;0,001).</w:t>
            </w:r>
          </w:p>
        </w:tc>
      </w:tr>
    </w:tbl>
    <w:p/>
    <w:p>
      <w:r>
        <w:rPr>
          <w:rFonts w:ascii="Times New Roman" w:hAnsi="Times New Roman"/>
          <w:b/>
          <w:sz w:val="24"/>
        </w:rPr>
        <w:t>Nhóm D: Xu hướng toàn cầu và so sánh liên quốc gia</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340"/>
            <w:shd w:fill="D9E2F3" w:val="clear"/>
          </w:tcPr>
          <w:p>
            <w:pPr>
              <w:jc w:val="center"/>
            </w:pPr>
            <w:r>
              <w:rPr>
                <w:rFonts w:ascii="Times New Roman" w:hAnsi="Times New Roman"/>
                <w:b/>
                <w:sz w:val="22"/>
              </w:rPr>
              <w:t>#</w:t>
            </w:r>
          </w:p>
        </w:tc>
        <w:tc>
          <w:tcPr>
            <w:tcW w:type="dxa" w:w="1417"/>
            <w:shd w:fill="D9E2F3" w:val="clear"/>
          </w:tcPr>
          <w:p>
            <w:pPr>
              <w:jc w:val="center"/>
            </w:pPr>
            <w:r>
              <w:rPr>
                <w:rFonts w:ascii="Times New Roman" w:hAnsi="Times New Roman"/>
                <w:b/>
                <w:sz w:val="22"/>
              </w:rPr>
              <w:t>Tác giả</w:t>
            </w:r>
          </w:p>
        </w:tc>
        <w:tc>
          <w:tcPr>
            <w:tcW w:type="dxa" w:w="454"/>
            <w:shd w:fill="D9E2F3" w:val="clear"/>
          </w:tcPr>
          <w:p>
            <w:pPr>
              <w:jc w:val="center"/>
            </w:pPr>
            <w:r>
              <w:rPr>
                <w:rFonts w:ascii="Times New Roman" w:hAnsi="Times New Roman"/>
                <w:b/>
                <w:sz w:val="22"/>
              </w:rPr>
              <w:t>Năm</w:t>
            </w:r>
          </w:p>
        </w:tc>
        <w:tc>
          <w:tcPr>
            <w:tcW w:type="dxa" w:w="1587"/>
            <w:shd w:fill="D9E2F3" w:val="clear"/>
          </w:tcPr>
          <w:p>
            <w:pPr>
              <w:jc w:val="center"/>
            </w:pPr>
            <w:r>
              <w:rPr>
                <w:rFonts w:ascii="Times New Roman" w:hAnsi="Times New Roman"/>
                <w:b/>
                <w:sz w:val="22"/>
              </w:rPr>
              <w:t>Tạp chí</w:t>
            </w:r>
          </w:p>
        </w:tc>
        <w:tc>
          <w:tcPr>
            <w:tcW w:type="dxa" w:w="5272"/>
            <w:shd w:fill="D9E2F3" w:val="clear"/>
          </w:tcPr>
          <w:p>
            <w:pPr>
              <w:jc w:val="center"/>
            </w:pPr>
            <w:r>
              <w:rPr>
                <w:rFonts w:ascii="Times New Roman" w:hAnsi="Times New Roman"/>
                <w:b/>
                <w:sz w:val="22"/>
              </w:rPr>
              <w:t>Nội dung</w:t>
            </w:r>
          </w:p>
        </w:tc>
      </w:tr>
      <w:tr>
        <w:tc>
          <w:tcPr>
            <w:tcW w:type="dxa" w:w="340"/>
          </w:tcPr>
          <w:p>
            <w:r>
              <w:rPr>
                <w:rFonts w:ascii="Times New Roman" w:hAnsi="Times New Roman"/>
                <w:sz w:val="22"/>
              </w:rPr>
              <w:t>10</w:t>
            </w:r>
          </w:p>
        </w:tc>
        <w:tc>
          <w:tcPr>
            <w:tcW w:type="dxa" w:w="1417"/>
          </w:tcPr>
          <w:p>
            <w:r>
              <w:rPr>
                <w:rFonts w:ascii="Times New Roman" w:hAnsi="Times New Roman"/>
                <w:sz w:val="22"/>
              </w:rPr>
              <w:t>ScienceDirect</w:t>
            </w:r>
          </w:p>
        </w:tc>
        <w:tc>
          <w:tcPr>
            <w:tcW w:type="dxa" w:w="454"/>
          </w:tcPr>
          <w:p>
            <w:r>
              <w:rPr>
                <w:rFonts w:ascii="Times New Roman" w:hAnsi="Times New Roman"/>
                <w:sz w:val="22"/>
              </w:rPr>
              <w:t>2025</w:t>
            </w:r>
          </w:p>
        </w:tc>
        <w:tc>
          <w:tcPr>
            <w:tcW w:type="dxa" w:w="1587"/>
          </w:tcPr>
          <w:p>
            <w:r>
              <w:rPr>
                <w:rFonts w:ascii="Times New Roman" w:hAnsi="Times New Roman"/>
                <w:sz w:val="22"/>
              </w:rPr>
              <w:t>J Affective Disorders</w:t>
            </w:r>
          </w:p>
        </w:tc>
        <w:tc>
          <w:tcPr>
            <w:tcW w:type="dxa" w:w="5272"/>
          </w:tcPr>
          <w:p>
            <w:r>
              <w:rPr>
                <w:rFonts w:ascii="Times New Roman" w:hAnsi="Times New Roman"/>
                <w:sz w:val="22"/>
              </w:rPr>
              <w:t>Xu hướng triệu chứng trầm cảm và lo âu ở VTN 10–24 tuổi từ 1990–2021: phân tích GBD. Tỷ lệ tăng đều qua 3 thập kỷ, đặc biệt nhanh ở nữ và nhóm 15–19 tuổi.</w:t>
            </w:r>
          </w:p>
        </w:tc>
      </w:tr>
      <w:tr>
        <w:tc>
          <w:tcPr>
            <w:tcW w:type="dxa" w:w="340"/>
          </w:tcPr>
          <w:p>
            <w:r>
              <w:rPr>
                <w:rFonts w:ascii="Times New Roman" w:hAnsi="Times New Roman"/>
                <w:sz w:val="22"/>
              </w:rPr>
              <w:t>11</w:t>
            </w:r>
          </w:p>
        </w:tc>
        <w:tc>
          <w:tcPr>
            <w:tcW w:type="dxa" w:w="1417"/>
          </w:tcPr>
          <w:p>
            <w:r>
              <w:rPr>
                <w:rFonts w:ascii="Times New Roman" w:hAnsi="Times New Roman"/>
                <w:sz w:val="22"/>
              </w:rPr>
              <w:t>Prevalence anxiety/depression LMIC</w:t>
            </w:r>
          </w:p>
        </w:tc>
        <w:tc>
          <w:tcPr>
            <w:tcW w:type="dxa" w:w="454"/>
          </w:tcPr>
          <w:p>
            <w:r>
              <w:rPr>
                <w:rFonts w:ascii="Times New Roman" w:hAnsi="Times New Roman"/>
                <w:sz w:val="22"/>
              </w:rPr>
              <w:t>2025</w:t>
            </w:r>
          </w:p>
        </w:tc>
        <w:tc>
          <w:tcPr>
            <w:tcW w:type="dxa" w:w="1587"/>
          </w:tcPr>
          <w:p>
            <w:r>
              <w:rPr>
                <w:rFonts w:ascii="Times New Roman" w:hAnsi="Times New Roman"/>
                <w:sz w:val="22"/>
              </w:rPr>
              <w:t>Psychiatric Research &amp; Clinical Practice</w:t>
            </w:r>
          </w:p>
        </w:tc>
        <w:tc>
          <w:tcPr>
            <w:tcW w:type="dxa" w:w="5272"/>
          </w:tcPr>
          <w:p>
            <w:r>
              <w:rPr>
                <w:rFonts w:ascii="Times New Roman" w:hAnsi="Times New Roman"/>
                <w:sz w:val="22"/>
              </w:rPr>
              <w:t>Tỷ lệ lo âu và trầm cảm ở trẻ/VTN tại LMIC: tổng quan hệ thống. Tỷ lệ 1–30% tùy khu vực. Nhấn mạnh khoảng trống bằng chứng tại châu Phi và Đông Nam Á.</w:t>
            </w:r>
          </w:p>
        </w:tc>
      </w:tr>
    </w:tbl>
    <w:p/>
    <w:p>
      <w:r>
        <w:br w:type="page"/>
      </w:r>
    </w:p>
    <w:p>
      <w:pPr>
        <w:pStyle w:val="Heading1"/>
      </w:pPr>
      <w:r>
        <w:rPr>
          <w:rFonts w:ascii="Times New Roman" w:hAnsi="Times New Roman"/>
          <w:color w:val="000000"/>
        </w:rPr>
        <w:t>PHẦN D: 10 BÀI NGHIÊN CỨU BỔ SUNG (5 VN + 3 ĐNA + 2 THẾ GIỚI)</w:t>
      </w:r>
    </w:p>
    <w:p>
      <w:pPr>
        <w:pStyle w:val="Heading2"/>
      </w:pPr>
      <w:r>
        <w:rPr>
          <w:rFonts w:ascii="Times New Roman" w:hAnsi="Times New Roman"/>
          <w:color w:val="000000"/>
        </w:rPr>
        <w:t>D.1 VIỆT NAM BỔ SUNG</w:t>
      </w:r>
    </w:p>
    <w:p>
      <w:pPr>
        <w:pStyle w:val="Heading3"/>
      </w:pPr>
      <w:r>
        <w:rPr>
          <w:rFonts w:ascii="Times New Roman" w:hAnsi="Times New Roman"/>
          <w:color w:val="000000"/>
        </w:rPr>
        <w:t>Bài 12: Sàng lọc lo âu, trầm cảm, stress ở HS THPT Long Bình, An Giang (2024)</w:t>
      </w:r>
    </w:p>
    <w:tbl>
      <w:tblPr>
        <w:tblStyle w:val="TableGrid"/>
        <w:tblW w:type="auto" w:w="0"/>
        <w:jc w:val="center"/>
        <w:tblLook w:firstColumn="1" w:firstRow="1" w:lastColumn="0" w:lastRow="0" w:noHBand="0" w:noVBand="1" w:val="04A0"/>
      </w:tblPr>
      <w:tblGrid>
        <w:gridCol w:w="4702"/>
        <w:gridCol w:w="4702"/>
      </w:tblGrid>
      <w:tr>
        <w:tc>
          <w:tcPr>
            <w:tcW w:type="dxa" w:w="1701"/>
            <w:shd w:fill="D9E2F3" w:val="clear"/>
          </w:tcPr>
          <w:p>
            <w:r>
              <w:rPr>
                <w:rFonts w:ascii="Times New Roman" w:hAnsi="Times New Roman"/>
                <w:b/>
                <w:sz w:val="22"/>
              </w:rPr>
              <w:t>Tác giả</w:t>
            </w:r>
          </w:p>
        </w:tc>
        <w:tc>
          <w:tcPr>
            <w:tcW w:type="dxa" w:w="7370"/>
          </w:tcPr>
          <w:p>
            <w:r>
              <w:rPr>
                <w:rFonts w:ascii="Times New Roman" w:hAnsi="Times New Roman"/>
                <w:sz w:val="22"/>
              </w:rPr>
              <w:t>Nhóm nghiên cứu An Giang</w:t>
            </w:r>
          </w:p>
        </w:tc>
      </w:tr>
      <w:tr>
        <w:tc>
          <w:tcPr>
            <w:tcW w:type="dxa" w:w="1701"/>
            <w:shd w:fill="D9E2F3" w:val="clear"/>
          </w:tcPr>
          <w:p>
            <w:r>
              <w:rPr>
                <w:rFonts w:ascii="Times New Roman" w:hAnsi="Times New Roman"/>
                <w:b/>
                <w:sz w:val="22"/>
              </w:rPr>
              <w:t>Tạp chí</w:t>
            </w:r>
          </w:p>
        </w:tc>
        <w:tc>
          <w:tcPr>
            <w:tcW w:type="dxa" w:w="7370"/>
          </w:tcPr>
          <w:p>
            <w:r>
              <w:rPr>
                <w:rFonts w:ascii="Times New Roman" w:hAnsi="Times New Roman"/>
                <w:sz w:val="22"/>
              </w:rPr>
              <w:t>Tạp chí Y học Việt Nam (2025)</w:t>
            </w:r>
          </w:p>
        </w:tc>
      </w:tr>
      <w:tr>
        <w:tc>
          <w:tcPr>
            <w:tcW w:type="dxa" w:w="1701"/>
            <w:shd w:fill="D9E2F3" w:val="clear"/>
          </w:tcPr>
          <w:p>
            <w:r>
              <w:rPr>
                <w:rFonts w:ascii="Times New Roman" w:hAnsi="Times New Roman"/>
                <w:b/>
                <w:sz w:val="22"/>
              </w:rPr>
              <w:t>Năm</w:t>
            </w:r>
          </w:p>
        </w:tc>
        <w:tc>
          <w:tcPr>
            <w:tcW w:type="dxa" w:w="7370"/>
          </w:tcPr>
          <w:p>
            <w:r>
              <w:rPr>
                <w:rFonts w:ascii="Times New Roman" w:hAnsi="Times New Roman"/>
                <w:sz w:val="22"/>
              </w:rPr>
              <w:t>2025 (khảo sát tháng 6/2024)</w:t>
            </w:r>
          </w:p>
        </w:tc>
      </w:tr>
      <w:tr>
        <w:tc>
          <w:tcPr>
            <w:tcW w:type="dxa" w:w="1701"/>
            <w:shd w:fill="D9E2F3" w:val="clear"/>
          </w:tcPr>
          <w:p>
            <w:r>
              <w:rPr>
                <w:rFonts w:ascii="Times New Roman" w:hAnsi="Times New Roman"/>
                <w:b/>
                <w:sz w:val="22"/>
              </w:rPr>
              <w:t>Mẫu</w:t>
            </w:r>
          </w:p>
        </w:tc>
        <w:tc>
          <w:tcPr>
            <w:tcW w:type="dxa" w:w="7370"/>
          </w:tcPr>
          <w:p>
            <w:r>
              <w:rPr>
                <w:rFonts w:ascii="Times New Roman" w:hAnsi="Times New Roman"/>
                <w:sz w:val="22"/>
              </w:rPr>
              <w:t>366 học sinh THPT Long Bình, An Giang</w:t>
            </w:r>
          </w:p>
        </w:tc>
      </w:tr>
      <w:tr>
        <w:tc>
          <w:tcPr>
            <w:tcW w:type="dxa" w:w="1701"/>
            <w:shd w:fill="D9E2F3" w:val="clear"/>
          </w:tcPr>
          <w:p>
            <w:r>
              <w:rPr>
                <w:rFonts w:ascii="Times New Roman" w:hAnsi="Times New Roman"/>
                <w:b/>
                <w:sz w:val="22"/>
              </w:rPr>
              <w:t>Công cụ</w:t>
            </w:r>
          </w:p>
        </w:tc>
        <w:tc>
          <w:tcPr>
            <w:tcW w:type="dxa" w:w="7370"/>
          </w:tcPr>
          <w:p>
            <w:r>
              <w:rPr>
                <w:rFonts w:ascii="Times New Roman" w:hAnsi="Times New Roman"/>
                <w:sz w:val="22"/>
              </w:rPr>
              <w:t>DASS-21</w:t>
            </w:r>
          </w:p>
        </w:tc>
      </w:tr>
      <w:tr>
        <w:tc>
          <w:tcPr>
            <w:tcW w:type="dxa" w:w="1701"/>
            <w:shd w:fill="D9E2F3" w:val="clear"/>
          </w:tcPr>
          <w:p>
            <w:r>
              <w:rPr>
                <w:rFonts w:ascii="Times New Roman" w:hAnsi="Times New Roman"/>
                <w:b/>
                <w:sz w:val="22"/>
              </w:rPr>
              <w:t>Thiết kế</w:t>
            </w:r>
          </w:p>
        </w:tc>
        <w:tc>
          <w:tcPr>
            <w:tcW w:type="dxa" w:w="7370"/>
          </w:tcPr>
          <w:p>
            <w:r>
              <w:rPr>
                <w:rFonts w:ascii="Times New Roman" w:hAnsi="Times New Roman"/>
                <w:sz w:val="22"/>
              </w:rPr>
              <w:t>Nghiên cứu cắt ngang</w:t>
            </w:r>
          </w:p>
        </w:tc>
      </w:tr>
    </w:tbl>
    <w:p/>
    <w:p>
      <w:r>
        <w:rPr>
          <w:rFonts w:ascii="Times New Roman" w:hAnsi="Times New Roman"/>
          <w:b/>
          <w:sz w:val="24"/>
        </w:rPr>
        <w:t>Kết quả chính</w:t>
      </w:r>
    </w:p>
    <w:p>
      <w:r>
        <w:rPr>
          <w:rFonts w:ascii="Times New Roman" w:hAnsi="Times New Roman"/>
          <w:sz w:val="24"/>
        </w:rPr>
        <w:t>Lo âu: 61,2% (nhẹ 9,3%, vừa 24,0%, nặng 12,6%, rất nặng 15,3%). Trầm cảm: 47,3% (nhẹ 15,8%, vừa 18,0%, nặng 8,5%, rất nặng 4,9%). Stress: 38,0% (nhẹ 12,8%, vừa 16,4%, nặng 11,5%, rất nặng 4,9%).</w:t>
      </w:r>
    </w:p>
    <w:p>
      <w:r>
        <w:rPr>
          <w:rFonts w:ascii="Times New Roman" w:hAnsi="Times New Roman"/>
          <w:sz w:val="24"/>
        </w:rPr>
        <w:t>Phân bố đáng chú ý: 28,1% không có triệu chứng; 24,6% mắc 1 vấn đề; 20,0% mắc 2 vấn đề; 27,3% mắc cả 3 vấn đề cùng lúc. Tỷ lệ rất cao so với các nghiên cứu ở đô thị, có thể phản ánh đặc thù vùng nông thôn và thiếu tiếp cận dịch vụ SKTT.</w:t>
      </w:r>
    </w:p>
    <w:p/>
    <w:p>
      <w:pPr>
        <w:pStyle w:val="Heading3"/>
      </w:pPr>
      <w:r>
        <w:rPr>
          <w:rFonts w:ascii="Times New Roman" w:hAnsi="Times New Roman"/>
          <w:color w:val="000000"/>
        </w:rPr>
        <w:t>Bài 13: Trần Hồ Vĩnh Lộc và cs. (2024) — Trầm cảm, lo âu, stress ở HS THPT tại TP.HCM</w:t>
      </w:r>
    </w:p>
    <w:tbl>
      <w:tblPr>
        <w:tblStyle w:val="TableGrid"/>
        <w:tblW w:type="auto" w:w="0"/>
        <w:jc w:val="center"/>
        <w:tblLook w:firstColumn="1" w:firstRow="1" w:lastColumn="0" w:lastRow="0" w:noHBand="0" w:noVBand="1" w:val="04A0"/>
      </w:tblPr>
      <w:tblGrid>
        <w:gridCol w:w="4702"/>
        <w:gridCol w:w="4702"/>
      </w:tblGrid>
      <w:tr>
        <w:tc>
          <w:tcPr>
            <w:tcW w:type="dxa" w:w="1701"/>
            <w:shd w:fill="D9E2F3" w:val="clear"/>
          </w:tcPr>
          <w:p>
            <w:r>
              <w:rPr>
                <w:rFonts w:ascii="Times New Roman" w:hAnsi="Times New Roman"/>
                <w:b/>
                <w:sz w:val="22"/>
              </w:rPr>
              <w:t>Tác giả</w:t>
            </w:r>
          </w:p>
        </w:tc>
        <w:tc>
          <w:tcPr>
            <w:tcW w:type="dxa" w:w="7370"/>
          </w:tcPr>
          <w:p>
            <w:r>
              <w:rPr>
                <w:rFonts w:ascii="Times New Roman" w:hAnsi="Times New Roman"/>
                <w:sz w:val="22"/>
              </w:rPr>
              <w:t>Trần Hồ Vĩnh Lộc, Huỳnh Ngọc Vân Anh, Tô Gia Kiên</w:t>
            </w:r>
          </w:p>
        </w:tc>
      </w:tr>
      <w:tr>
        <w:tc>
          <w:tcPr>
            <w:tcW w:type="dxa" w:w="1701"/>
            <w:shd w:fill="D9E2F3" w:val="clear"/>
          </w:tcPr>
          <w:p>
            <w:r>
              <w:rPr>
                <w:rFonts w:ascii="Times New Roman" w:hAnsi="Times New Roman"/>
                <w:b/>
                <w:sz w:val="22"/>
              </w:rPr>
              <w:t>Tạp chí</w:t>
            </w:r>
          </w:p>
        </w:tc>
        <w:tc>
          <w:tcPr>
            <w:tcW w:type="dxa" w:w="7370"/>
          </w:tcPr>
          <w:p>
            <w:r>
              <w:rPr>
                <w:rFonts w:ascii="Times New Roman" w:hAnsi="Times New Roman"/>
                <w:sz w:val="22"/>
              </w:rPr>
              <w:t>Tạp chí Y học TP.HCM (Vol. 27, No. 5)</w:t>
            </w:r>
          </w:p>
        </w:tc>
      </w:tr>
      <w:tr>
        <w:tc>
          <w:tcPr>
            <w:tcW w:type="dxa" w:w="1701"/>
            <w:shd w:fill="D9E2F3" w:val="clear"/>
          </w:tcPr>
          <w:p>
            <w:r>
              <w:rPr>
                <w:rFonts w:ascii="Times New Roman" w:hAnsi="Times New Roman"/>
                <w:b/>
                <w:sz w:val="22"/>
              </w:rPr>
              <w:t>Năm</w:t>
            </w:r>
          </w:p>
        </w:tc>
        <w:tc>
          <w:tcPr>
            <w:tcW w:type="dxa" w:w="7370"/>
          </w:tcPr>
          <w:p>
            <w:r>
              <w:rPr>
                <w:rFonts w:ascii="Times New Roman" w:hAnsi="Times New Roman"/>
                <w:sz w:val="22"/>
              </w:rPr>
              <w:t>2024 (khảo sát tháng 2–4/2024)</w:t>
            </w:r>
          </w:p>
        </w:tc>
      </w:tr>
      <w:tr>
        <w:tc>
          <w:tcPr>
            <w:tcW w:type="dxa" w:w="1701"/>
            <w:shd w:fill="D9E2F3" w:val="clear"/>
          </w:tcPr>
          <w:p>
            <w:r>
              <w:rPr>
                <w:rFonts w:ascii="Times New Roman" w:hAnsi="Times New Roman"/>
                <w:b/>
                <w:sz w:val="22"/>
              </w:rPr>
              <w:t>Mẫu</w:t>
            </w:r>
          </w:p>
        </w:tc>
        <w:tc>
          <w:tcPr>
            <w:tcW w:type="dxa" w:w="7370"/>
          </w:tcPr>
          <w:p>
            <w:r>
              <w:rPr>
                <w:rFonts w:ascii="Times New Roman" w:hAnsi="Times New Roman"/>
                <w:sz w:val="22"/>
              </w:rPr>
              <w:t>976 học sinh THPT tại 2 trường ở TP.HCM (tuổi TB 17; 53,4% nữ)</w:t>
            </w:r>
          </w:p>
        </w:tc>
      </w:tr>
      <w:tr>
        <w:tc>
          <w:tcPr>
            <w:tcW w:type="dxa" w:w="1701"/>
            <w:shd w:fill="D9E2F3" w:val="clear"/>
          </w:tcPr>
          <w:p>
            <w:r>
              <w:rPr>
                <w:rFonts w:ascii="Times New Roman" w:hAnsi="Times New Roman"/>
                <w:b/>
                <w:sz w:val="22"/>
              </w:rPr>
              <w:t>Công cụ</w:t>
            </w:r>
          </w:p>
        </w:tc>
        <w:tc>
          <w:tcPr>
            <w:tcW w:type="dxa" w:w="7370"/>
          </w:tcPr>
          <w:p>
            <w:r>
              <w:rPr>
                <w:rFonts w:ascii="Times New Roman" w:hAnsi="Times New Roman"/>
                <w:sz w:val="22"/>
              </w:rPr>
              <w:t>DASS-Y (dành cho thanh thiếu niên); ESSA (áp lực học tập)</w:t>
            </w:r>
          </w:p>
        </w:tc>
      </w:tr>
      <w:tr>
        <w:tc>
          <w:tcPr>
            <w:tcW w:type="dxa" w:w="1701"/>
            <w:shd w:fill="D9E2F3" w:val="clear"/>
          </w:tcPr>
          <w:p>
            <w:r>
              <w:rPr>
                <w:rFonts w:ascii="Times New Roman" w:hAnsi="Times New Roman"/>
                <w:b/>
                <w:sz w:val="22"/>
              </w:rPr>
              <w:t>Thiết kế</w:t>
            </w:r>
          </w:p>
        </w:tc>
        <w:tc>
          <w:tcPr>
            <w:tcW w:type="dxa" w:w="7370"/>
          </w:tcPr>
          <w:p>
            <w:r>
              <w:rPr>
                <w:rFonts w:ascii="Times New Roman" w:hAnsi="Times New Roman"/>
                <w:sz w:val="22"/>
              </w:rPr>
              <w:t>Nghiên cứu cắt ngang mô tả, chọn mẫu ngẫu nhiên nhiều giai đoạn</w:t>
            </w:r>
          </w:p>
        </w:tc>
      </w:tr>
    </w:tbl>
    <w:p/>
    <w:p>
      <w:r>
        <w:rPr>
          <w:rFonts w:ascii="Times New Roman" w:hAnsi="Times New Roman"/>
          <w:b/>
          <w:sz w:val="24"/>
        </w:rPr>
        <w:t>Kết quả chính</w:t>
      </w:r>
    </w:p>
    <w:p>
      <w:r>
        <w:rPr>
          <w:rFonts w:ascii="Times New Roman" w:hAnsi="Times New Roman"/>
          <w:sz w:val="24"/>
        </w:rPr>
        <w:t>Trầm cảm 31,7%, lo âu 25,1%, stress 23,8%. Tổng cộng 42,4% HS mắc ít nhất 1 vấn đề SKTT, 13,2% mắc cả 3. Nữ giới có tỷ lệ cao hơn nam ở cả 3 chỉ số. Áp lực học tập (vừa hoặc nặng) là yếu tố dự báo mạnh nhất.</w:t>
      </w:r>
    </w:p>
    <w:p>
      <w:r>
        <w:rPr>
          <w:rFonts w:ascii="Times New Roman" w:hAnsi="Times New Roman"/>
          <w:sz w:val="24"/>
        </w:rPr>
        <w:t>Cha mẹ ly hôn/ly thân và tình trạng kinh tế gia đình thấp làm tăng nguy cơ trầm cảm và stress đáng kể. Thú vị: trình độ học vấn mẹ cao hơn tương quan với tỷ lệ stress cao hơn — có thể do kỳ vọng cao hơn.</w:t>
      </w:r>
    </w:p>
    <w:p/>
    <w:p>
      <w:pPr>
        <w:pStyle w:val="Heading3"/>
      </w:pPr>
      <w:r>
        <w:rPr>
          <w:rFonts w:ascii="Times New Roman" w:hAnsi="Times New Roman"/>
          <w:color w:val="000000"/>
        </w:rPr>
        <w:t>Bài 14: Nguyễn Thị Hương và cs. (2024) — Trầm cảm ở HS THCS Chu Văn An, Thái Nguyên</w:t>
      </w:r>
    </w:p>
    <w:tbl>
      <w:tblPr>
        <w:tblStyle w:val="TableGrid"/>
        <w:tblW w:type="auto" w:w="0"/>
        <w:jc w:val="center"/>
        <w:tblLook w:firstColumn="1" w:firstRow="1" w:lastColumn="0" w:lastRow="0" w:noHBand="0" w:noVBand="1" w:val="04A0"/>
      </w:tblPr>
      <w:tblGrid>
        <w:gridCol w:w="4702"/>
        <w:gridCol w:w="4702"/>
      </w:tblGrid>
      <w:tr>
        <w:tc>
          <w:tcPr>
            <w:tcW w:type="dxa" w:w="1701"/>
            <w:shd w:fill="D9E2F3" w:val="clear"/>
          </w:tcPr>
          <w:p>
            <w:r>
              <w:rPr>
                <w:rFonts w:ascii="Times New Roman" w:hAnsi="Times New Roman"/>
                <w:b/>
                <w:sz w:val="22"/>
              </w:rPr>
              <w:t>Tác giả</w:t>
            </w:r>
          </w:p>
        </w:tc>
        <w:tc>
          <w:tcPr>
            <w:tcW w:type="dxa" w:w="7370"/>
          </w:tcPr>
          <w:p>
            <w:r>
              <w:rPr>
                <w:rFonts w:ascii="Times New Roman" w:hAnsi="Times New Roman"/>
                <w:sz w:val="22"/>
              </w:rPr>
              <w:t>Nguyễn Thị Hương, Trần Nguyên Ngọc, Lê Thị Thủy Linh</w:t>
            </w:r>
          </w:p>
        </w:tc>
      </w:tr>
      <w:tr>
        <w:tc>
          <w:tcPr>
            <w:tcW w:type="dxa" w:w="1701"/>
            <w:shd w:fill="D9E2F3" w:val="clear"/>
          </w:tcPr>
          <w:p>
            <w:r>
              <w:rPr>
                <w:rFonts w:ascii="Times New Roman" w:hAnsi="Times New Roman"/>
                <w:b/>
                <w:sz w:val="22"/>
              </w:rPr>
              <w:t>Tạp chí</w:t>
            </w:r>
          </w:p>
        </w:tc>
        <w:tc>
          <w:tcPr>
            <w:tcW w:type="dxa" w:w="7370"/>
          </w:tcPr>
          <w:p>
            <w:r>
              <w:rPr>
                <w:rFonts w:ascii="Times New Roman" w:hAnsi="Times New Roman"/>
                <w:sz w:val="22"/>
              </w:rPr>
              <w:t>Tạp chí Y học Việt Nam (Vol. 543, No. 2)</w:t>
            </w:r>
          </w:p>
        </w:tc>
      </w:tr>
      <w:tr>
        <w:tc>
          <w:tcPr>
            <w:tcW w:type="dxa" w:w="1701"/>
            <w:shd w:fill="D9E2F3" w:val="clear"/>
          </w:tcPr>
          <w:p>
            <w:r>
              <w:rPr>
                <w:rFonts w:ascii="Times New Roman" w:hAnsi="Times New Roman"/>
                <w:b/>
                <w:sz w:val="22"/>
              </w:rPr>
              <w:t>Năm</w:t>
            </w:r>
          </w:p>
        </w:tc>
        <w:tc>
          <w:tcPr>
            <w:tcW w:type="dxa" w:w="7370"/>
          </w:tcPr>
          <w:p>
            <w:r>
              <w:rPr>
                <w:rFonts w:ascii="Times New Roman" w:hAnsi="Times New Roman"/>
                <w:sz w:val="22"/>
              </w:rPr>
              <w:t>2024 (năm học 2023–2024)</w:t>
            </w:r>
          </w:p>
        </w:tc>
      </w:tr>
      <w:tr>
        <w:tc>
          <w:tcPr>
            <w:tcW w:type="dxa" w:w="1701"/>
            <w:shd w:fill="D9E2F3" w:val="clear"/>
          </w:tcPr>
          <w:p>
            <w:r>
              <w:rPr>
                <w:rFonts w:ascii="Times New Roman" w:hAnsi="Times New Roman"/>
                <w:b/>
                <w:sz w:val="22"/>
              </w:rPr>
              <w:t>Mẫu</w:t>
            </w:r>
          </w:p>
        </w:tc>
        <w:tc>
          <w:tcPr>
            <w:tcW w:type="dxa" w:w="7370"/>
          </w:tcPr>
          <w:p>
            <w:r>
              <w:rPr>
                <w:rFonts w:ascii="Times New Roman" w:hAnsi="Times New Roman"/>
                <w:sz w:val="22"/>
              </w:rPr>
              <w:t>492 học sinh THCS Chu Văn An, Thái Nguyên (tuổi TB 13,3; 55,7% nữ)</w:t>
            </w:r>
          </w:p>
        </w:tc>
      </w:tr>
      <w:tr>
        <w:tc>
          <w:tcPr>
            <w:tcW w:type="dxa" w:w="1701"/>
            <w:shd w:fill="D9E2F3" w:val="clear"/>
          </w:tcPr>
          <w:p>
            <w:r>
              <w:rPr>
                <w:rFonts w:ascii="Times New Roman" w:hAnsi="Times New Roman"/>
                <w:b/>
                <w:sz w:val="22"/>
              </w:rPr>
              <w:t>Công cụ</w:t>
            </w:r>
          </w:p>
        </w:tc>
        <w:tc>
          <w:tcPr>
            <w:tcW w:type="dxa" w:w="7370"/>
          </w:tcPr>
          <w:p>
            <w:r>
              <w:rPr>
                <w:rFonts w:ascii="Times New Roman" w:hAnsi="Times New Roman"/>
                <w:sz w:val="22"/>
              </w:rPr>
              <w:t>Chẩn đoán lâm sàng theo ICD-10</w:t>
            </w:r>
          </w:p>
        </w:tc>
      </w:tr>
      <w:tr>
        <w:tc>
          <w:tcPr>
            <w:tcW w:type="dxa" w:w="1701"/>
            <w:shd w:fill="D9E2F3" w:val="clear"/>
          </w:tcPr>
          <w:p>
            <w:r>
              <w:rPr>
                <w:rFonts w:ascii="Times New Roman" w:hAnsi="Times New Roman"/>
                <w:b/>
                <w:sz w:val="22"/>
              </w:rPr>
              <w:t>Thiết kế</w:t>
            </w:r>
          </w:p>
        </w:tc>
        <w:tc>
          <w:tcPr>
            <w:tcW w:type="dxa" w:w="7370"/>
          </w:tcPr>
          <w:p>
            <w:r>
              <w:rPr>
                <w:rFonts w:ascii="Times New Roman" w:hAnsi="Times New Roman"/>
                <w:sz w:val="22"/>
              </w:rPr>
              <w:t>Nghiên cứu cắt ngang mô tả</w:t>
            </w:r>
          </w:p>
        </w:tc>
      </w:tr>
    </w:tbl>
    <w:p/>
    <w:p>
      <w:r>
        <w:rPr>
          <w:rFonts w:ascii="Times New Roman" w:hAnsi="Times New Roman"/>
          <w:b/>
          <w:sz w:val="24"/>
        </w:rPr>
        <w:t>Kết quả chính</w:t>
      </w:r>
    </w:p>
    <w:p>
      <w:r>
        <w:rPr>
          <w:rFonts w:ascii="Times New Roman" w:hAnsi="Times New Roman"/>
          <w:sz w:val="24"/>
        </w:rPr>
        <w:t>Tỷ lệ trầm cảm theo chẩn đoán ICD-10: 6,3% (31 HS). Đây là tỷ lệ chẩn đoán lâm sàng, thấp hơn nhiều so với tỷ lệ sàng lọc DASS-21 (thường 30–80%), cho thấy tầm quan trọng của việc phân biệt sàng lọc và chẩn đoán.</w:t>
      </w:r>
    </w:p>
    <w:p>
      <w:r>
        <w:rPr>
          <w:rFonts w:ascii="Times New Roman" w:hAnsi="Times New Roman"/>
          <w:sz w:val="24"/>
        </w:rPr>
        <w:t>Trong số HS trầm cảm: nhẹ 51,16%, trung bình 22,6%, rối loạn thích ứng có phản ứng trầm cảm 22,6%. Triệu chứng thường gặp: rối loạn giấc ngủ (29,1%), khó tập trung (11,2%), ý tưởng tự gây hại (4,7%). Nữ chiếm đa số.</w:t>
      </w:r>
    </w:p>
    <w:p/>
    <w:p>
      <w:pPr>
        <w:pStyle w:val="Heading3"/>
      </w:pPr>
      <w:r>
        <w:rPr>
          <w:rFonts w:ascii="Times New Roman" w:hAnsi="Times New Roman"/>
          <w:color w:val="000000"/>
        </w:rPr>
        <w:t>Bài 15: Nguyễn HTT và cs. (2024) — Trầm cảm ở HS THPT đô thị Hà Nội: vai trò quan hệ gia đình–trường học</w:t>
      </w:r>
    </w:p>
    <w:tbl>
      <w:tblPr>
        <w:tblStyle w:val="TableGrid"/>
        <w:tblW w:type="auto" w:w="0"/>
        <w:jc w:val="center"/>
        <w:tblLook w:firstColumn="1" w:firstRow="1" w:lastColumn="0" w:lastRow="0" w:noHBand="0" w:noVBand="1" w:val="04A0"/>
      </w:tblPr>
      <w:tblGrid>
        <w:gridCol w:w="4702"/>
        <w:gridCol w:w="4702"/>
      </w:tblGrid>
      <w:tr>
        <w:tc>
          <w:tcPr>
            <w:tcW w:type="dxa" w:w="1701"/>
            <w:shd w:fill="D9E2F3" w:val="clear"/>
          </w:tcPr>
          <w:p>
            <w:r>
              <w:rPr>
                <w:rFonts w:ascii="Times New Roman" w:hAnsi="Times New Roman"/>
                <w:b/>
                <w:sz w:val="22"/>
              </w:rPr>
              <w:t>Tác giả</w:t>
            </w:r>
          </w:p>
        </w:tc>
        <w:tc>
          <w:tcPr>
            <w:tcW w:type="dxa" w:w="7370"/>
          </w:tcPr>
          <w:p>
            <w:r>
              <w:rPr>
                <w:rFonts w:ascii="Times New Roman" w:hAnsi="Times New Roman"/>
                <w:sz w:val="22"/>
              </w:rPr>
              <w:t>Nguyễn HTT, Trần BX, Lưu HN, Boyer L, Fond G, Auquier P, Latkin CA, Nguyễn TT, Zhang MWB, Ho RCM, Ho CSH</w:t>
            </w:r>
          </w:p>
        </w:tc>
      </w:tr>
      <w:tr>
        <w:tc>
          <w:tcPr>
            <w:tcW w:type="dxa" w:w="1701"/>
            <w:shd w:fill="D9E2F3" w:val="clear"/>
          </w:tcPr>
          <w:p>
            <w:r>
              <w:rPr>
                <w:rFonts w:ascii="Times New Roman" w:hAnsi="Times New Roman"/>
                <w:b/>
                <w:sz w:val="22"/>
              </w:rPr>
              <w:t>Tạp chí</w:t>
            </w:r>
          </w:p>
        </w:tc>
        <w:tc>
          <w:tcPr>
            <w:tcW w:type="dxa" w:w="7370"/>
          </w:tcPr>
          <w:p>
            <w:r>
              <w:rPr>
                <w:rFonts w:ascii="Times New Roman" w:hAnsi="Times New Roman"/>
                <w:sz w:val="22"/>
              </w:rPr>
              <w:t>Journal of Epidemiology and Population Health</w:t>
            </w:r>
          </w:p>
        </w:tc>
      </w:tr>
      <w:tr>
        <w:tc>
          <w:tcPr>
            <w:tcW w:type="dxa" w:w="1701"/>
            <w:shd w:fill="D9E2F3" w:val="clear"/>
          </w:tcPr>
          <w:p>
            <w:r>
              <w:rPr>
                <w:rFonts w:ascii="Times New Roman" w:hAnsi="Times New Roman"/>
                <w:b/>
                <w:sz w:val="22"/>
              </w:rPr>
              <w:t>Năm</w:t>
            </w:r>
          </w:p>
        </w:tc>
        <w:tc>
          <w:tcPr>
            <w:tcW w:type="dxa" w:w="7370"/>
          </w:tcPr>
          <w:p>
            <w:r>
              <w:rPr>
                <w:rFonts w:ascii="Times New Roman" w:hAnsi="Times New Roman"/>
                <w:sz w:val="22"/>
              </w:rPr>
              <w:t>2024</w:t>
            </w:r>
          </w:p>
        </w:tc>
      </w:tr>
      <w:tr>
        <w:tc>
          <w:tcPr>
            <w:tcW w:type="dxa" w:w="1701"/>
            <w:shd w:fill="D9E2F3" w:val="clear"/>
          </w:tcPr>
          <w:p>
            <w:r>
              <w:rPr>
                <w:rFonts w:ascii="Times New Roman" w:hAnsi="Times New Roman"/>
                <w:b/>
                <w:sz w:val="22"/>
              </w:rPr>
              <w:t>Mẫu</w:t>
            </w:r>
          </w:p>
        </w:tc>
        <w:tc>
          <w:tcPr>
            <w:tcW w:type="dxa" w:w="7370"/>
          </w:tcPr>
          <w:p>
            <w:r>
              <w:rPr>
                <w:rFonts w:ascii="Times New Roman" w:hAnsi="Times New Roman"/>
                <w:sz w:val="22"/>
              </w:rPr>
              <w:t>507 học sinh 15–17 tuổi tại Hà Nội</w:t>
            </w:r>
          </w:p>
        </w:tc>
      </w:tr>
      <w:tr>
        <w:tc>
          <w:tcPr>
            <w:tcW w:type="dxa" w:w="1701"/>
            <w:shd w:fill="D9E2F3" w:val="clear"/>
          </w:tcPr>
          <w:p>
            <w:r>
              <w:rPr>
                <w:rFonts w:ascii="Times New Roman" w:hAnsi="Times New Roman"/>
                <w:b/>
                <w:sz w:val="22"/>
              </w:rPr>
              <w:t>Công cụ</w:t>
            </w:r>
          </w:p>
        </w:tc>
        <w:tc>
          <w:tcPr>
            <w:tcW w:type="dxa" w:w="7370"/>
          </w:tcPr>
          <w:p>
            <w:r>
              <w:rPr>
                <w:rFonts w:ascii="Times New Roman" w:hAnsi="Times New Roman"/>
                <w:sz w:val="22"/>
              </w:rPr>
              <w:t>RADS-2 (Reynolds Adolescent Depression Scale, 2nd Edition)</w:t>
            </w:r>
          </w:p>
        </w:tc>
      </w:tr>
      <w:tr>
        <w:tc>
          <w:tcPr>
            <w:tcW w:type="dxa" w:w="1701"/>
            <w:shd w:fill="D9E2F3" w:val="clear"/>
          </w:tcPr>
          <w:p>
            <w:r>
              <w:rPr>
                <w:rFonts w:ascii="Times New Roman" w:hAnsi="Times New Roman"/>
                <w:b/>
                <w:sz w:val="22"/>
              </w:rPr>
              <w:t>Thiết kế</w:t>
            </w:r>
          </w:p>
        </w:tc>
        <w:tc>
          <w:tcPr>
            <w:tcW w:type="dxa" w:w="7370"/>
          </w:tcPr>
          <w:p>
            <w:r>
              <w:rPr>
                <w:rFonts w:ascii="Times New Roman" w:hAnsi="Times New Roman"/>
                <w:sz w:val="22"/>
              </w:rPr>
              <w:t>Nghiên cứu cắt ngang, phân tích hồi quy Tobit đa biến</w:t>
            </w:r>
          </w:p>
        </w:tc>
      </w:tr>
    </w:tbl>
    <w:p/>
    <w:p>
      <w:r>
        <w:rPr>
          <w:rFonts w:ascii="Times New Roman" w:hAnsi="Times New Roman"/>
          <w:b/>
          <w:sz w:val="24"/>
        </w:rPr>
        <w:t>Kết quả chính</w:t>
      </w:r>
    </w:p>
    <w:p>
      <w:r>
        <w:rPr>
          <w:rFonts w:ascii="Times New Roman" w:hAnsi="Times New Roman"/>
          <w:sz w:val="24"/>
        </w:rPr>
        <w:t>Đánh giá trầm cảm qua 4 miền RADS-2: tâm trạng buồn bã (15,1 ± 4,2), mất hứng thú (16,4 ± 4,0), tự đánh giá tiêu cực (13,1 ± 4,4), than phiền cơ thể (12,4 ± 3,7). Không sử dụng ngưỡng cắt mà phân tích liên tục — cách tiếp cận tinh tế hơn.</w:t>
      </w:r>
    </w:p>
    <w:p>
      <w:r>
        <w:rPr>
          <w:rFonts w:ascii="Times New Roman" w:hAnsi="Times New Roman"/>
          <w:sz w:val="24"/>
        </w:rPr>
        <w:t>Yếu tố nguy cơ: quan hệ cha mẹ kém, thiếu người tâm sự, xung đột gia đình, áp lực thi cử, quá tải bài vở. Yếu tố bảo vệ: hài lòng với bạn bè ở trường, hỗ trợ từ giáo viên/bạn bè, tham gia hoạt động ngoại khóa.</w:t>
      </w:r>
    </w:p>
    <w:p/>
    <w:p>
      <w:pPr>
        <w:pStyle w:val="Heading3"/>
      </w:pPr>
      <w:r>
        <w:rPr>
          <w:rFonts w:ascii="Times New Roman" w:hAnsi="Times New Roman"/>
          <w:color w:val="000000"/>
        </w:rPr>
        <w:t>Bài 16: Nguyễn Danh Lâm và cs. (2024) — Stress, lo âu, trầm cảm ở HS THPT Yên Định, Thanh Hóa</w:t>
      </w:r>
    </w:p>
    <w:tbl>
      <w:tblPr>
        <w:tblStyle w:val="TableGrid"/>
        <w:tblW w:type="auto" w:w="0"/>
        <w:jc w:val="center"/>
        <w:tblLook w:firstColumn="1" w:firstRow="1" w:lastColumn="0" w:lastRow="0" w:noHBand="0" w:noVBand="1" w:val="04A0"/>
      </w:tblPr>
      <w:tblGrid>
        <w:gridCol w:w="4702"/>
        <w:gridCol w:w="4702"/>
      </w:tblGrid>
      <w:tr>
        <w:tc>
          <w:tcPr>
            <w:tcW w:type="dxa" w:w="1701"/>
            <w:shd w:fill="D9E2F3" w:val="clear"/>
          </w:tcPr>
          <w:p>
            <w:r>
              <w:rPr>
                <w:rFonts w:ascii="Times New Roman" w:hAnsi="Times New Roman"/>
                <w:b/>
                <w:sz w:val="22"/>
              </w:rPr>
              <w:t>Tác giả</w:t>
            </w:r>
          </w:p>
        </w:tc>
        <w:tc>
          <w:tcPr>
            <w:tcW w:type="dxa" w:w="7370"/>
          </w:tcPr>
          <w:p>
            <w:r>
              <w:rPr>
                <w:rFonts w:ascii="Times New Roman" w:hAnsi="Times New Roman"/>
                <w:sz w:val="22"/>
              </w:rPr>
              <w:t>Nguyễn Danh Lâm, Lê Minh Giang, Nguyễn Thị Phương Mai, Nguyễn Thị Diệu Thúy, Nguyễn Thị Thanh Mai</w:t>
            </w:r>
          </w:p>
        </w:tc>
      </w:tr>
      <w:tr>
        <w:tc>
          <w:tcPr>
            <w:tcW w:type="dxa" w:w="1701"/>
            <w:shd w:fill="D9E2F3" w:val="clear"/>
          </w:tcPr>
          <w:p>
            <w:r>
              <w:rPr>
                <w:rFonts w:ascii="Times New Roman" w:hAnsi="Times New Roman"/>
                <w:b/>
                <w:sz w:val="22"/>
              </w:rPr>
              <w:t>Tạp chí</w:t>
            </w:r>
          </w:p>
        </w:tc>
        <w:tc>
          <w:tcPr>
            <w:tcW w:type="dxa" w:w="7370"/>
          </w:tcPr>
          <w:p>
            <w:r>
              <w:rPr>
                <w:rFonts w:ascii="Times New Roman" w:hAnsi="Times New Roman"/>
                <w:sz w:val="22"/>
              </w:rPr>
              <w:t>Tạp chí Y học Việt Nam (Vol. 516, No. 1)</w:t>
            </w:r>
          </w:p>
        </w:tc>
      </w:tr>
      <w:tr>
        <w:tc>
          <w:tcPr>
            <w:tcW w:type="dxa" w:w="1701"/>
            <w:shd w:fill="D9E2F3" w:val="clear"/>
          </w:tcPr>
          <w:p>
            <w:r>
              <w:rPr>
                <w:rFonts w:ascii="Times New Roman" w:hAnsi="Times New Roman"/>
                <w:b/>
                <w:sz w:val="22"/>
              </w:rPr>
              <w:t>Năm</w:t>
            </w:r>
          </w:p>
        </w:tc>
        <w:tc>
          <w:tcPr>
            <w:tcW w:type="dxa" w:w="7370"/>
          </w:tcPr>
          <w:p>
            <w:r>
              <w:rPr>
                <w:rFonts w:ascii="Times New Roman" w:hAnsi="Times New Roman"/>
                <w:sz w:val="22"/>
              </w:rPr>
              <w:t>2024</w:t>
            </w:r>
          </w:p>
        </w:tc>
      </w:tr>
      <w:tr>
        <w:tc>
          <w:tcPr>
            <w:tcW w:type="dxa" w:w="1701"/>
            <w:shd w:fill="D9E2F3" w:val="clear"/>
          </w:tcPr>
          <w:p>
            <w:r>
              <w:rPr>
                <w:rFonts w:ascii="Times New Roman" w:hAnsi="Times New Roman"/>
                <w:b/>
                <w:sz w:val="22"/>
              </w:rPr>
              <w:t>Mẫu</w:t>
            </w:r>
          </w:p>
        </w:tc>
        <w:tc>
          <w:tcPr>
            <w:tcW w:type="dxa" w:w="7370"/>
          </w:tcPr>
          <w:p>
            <w:r>
              <w:rPr>
                <w:rFonts w:ascii="Times New Roman" w:hAnsi="Times New Roman"/>
                <w:sz w:val="22"/>
              </w:rPr>
              <w:t>482 học sinh THPT huyện Yên Định, Thanh Hóa</w:t>
            </w:r>
          </w:p>
        </w:tc>
      </w:tr>
      <w:tr>
        <w:tc>
          <w:tcPr>
            <w:tcW w:type="dxa" w:w="1701"/>
            <w:shd w:fill="D9E2F3" w:val="clear"/>
          </w:tcPr>
          <w:p>
            <w:r>
              <w:rPr>
                <w:rFonts w:ascii="Times New Roman" w:hAnsi="Times New Roman"/>
                <w:b/>
                <w:sz w:val="22"/>
              </w:rPr>
              <w:t>Công cụ</w:t>
            </w:r>
          </w:p>
        </w:tc>
        <w:tc>
          <w:tcPr>
            <w:tcW w:type="dxa" w:w="7370"/>
          </w:tcPr>
          <w:p>
            <w:r>
              <w:rPr>
                <w:rFonts w:ascii="Times New Roman" w:hAnsi="Times New Roman"/>
                <w:sz w:val="22"/>
              </w:rPr>
              <w:t>DASS-21</w:t>
            </w:r>
          </w:p>
        </w:tc>
      </w:tr>
      <w:tr>
        <w:tc>
          <w:tcPr>
            <w:tcW w:type="dxa" w:w="1701"/>
            <w:shd w:fill="D9E2F3" w:val="clear"/>
          </w:tcPr>
          <w:p>
            <w:r>
              <w:rPr>
                <w:rFonts w:ascii="Times New Roman" w:hAnsi="Times New Roman"/>
                <w:b/>
                <w:sz w:val="22"/>
              </w:rPr>
              <w:t>Thiết kế</w:t>
            </w:r>
          </w:p>
        </w:tc>
        <w:tc>
          <w:tcPr>
            <w:tcW w:type="dxa" w:w="7370"/>
          </w:tcPr>
          <w:p>
            <w:r>
              <w:rPr>
                <w:rFonts w:ascii="Times New Roman" w:hAnsi="Times New Roman"/>
                <w:sz w:val="22"/>
              </w:rPr>
              <w:t>Nghiên cứu cắt ngang mô tả</w:t>
            </w:r>
          </w:p>
        </w:tc>
      </w:tr>
    </w:tbl>
    <w:p/>
    <w:p>
      <w:r>
        <w:rPr>
          <w:rFonts w:ascii="Times New Roman" w:hAnsi="Times New Roman"/>
          <w:b/>
          <w:sz w:val="24"/>
        </w:rPr>
        <w:t>Kết quả chính</w:t>
      </w:r>
    </w:p>
    <w:p>
      <w:r>
        <w:rPr>
          <w:rFonts w:ascii="Times New Roman" w:hAnsi="Times New Roman"/>
          <w:sz w:val="24"/>
        </w:rPr>
        <w:t>Stress 41,7%, lo âu 49,0%, trầm cảm 43,6% — chủ yếu ở mức nhẹ và trung bình. Tỷ lệ đáng lo ngại: khoảng 1/3 HS có ý tưởng tự gây hại, 10% tự gây thương tích, 25% từng nghĩ đến tự tử, 1,4% đã cố gắng tự tử.</w:t>
      </w:r>
    </w:p>
    <w:p>
      <w:r>
        <w:rPr>
          <w:rFonts w:ascii="Times New Roman" w:hAnsi="Times New Roman"/>
          <w:sz w:val="24"/>
        </w:rPr>
        <w:t>Đây là nghiên cứu hiếm hoi tại vùng bán đô thị (huyện Yên Định) — khu vực ít được nghiên cứu so với thành phố lớn. Tác giả nhấn mạnh nhu cầu cấp thiết về hệ thống tư vấn SKTT tại trường học khu vực nông thôn và bán đô thị.</w:t>
      </w:r>
    </w:p>
    <w:p/>
    <w:p>
      <w:pPr>
        <w:pStyle w:val="Heading2"/>
      </w:pPr>
      <w:r>
        <w:rPr>
          <w:rFonts w:ascii="Times New Roman" w:hAnsi="Times New Roman"/>
          <w:color w:val="000000"/>
        </w:rPr>
        <w:t>D.2 ĐÔNG NAM Á BỔ SUNG</w:t>
      </w:r>
    </w:p>
    <w:p>
      <w:pPr>
        <w:pStyle w:val="Heading3"/>
      </w:pPr>
      <w:r>
        <w:rPr>
          <w:rFonts w:ascii="Times New Roman" w:hAnsi="Times New Roman"/>
          <w:color w:val="000000"/>
        </w:rPr>
        <w:t>Bài 17: GBD 2021 — Dịch tễ học và gánh nặng 10 rối loạn tâm thần tại ASEAN (2025)</w:t>
      </w:r>
    </w:p>
    <w:tbl>
      <w:tblPr>
        <w:tblStyle w:val="TableGrid"/>
        <w:tblW w:type="auto" w:w="0"/>
        <w:jc w:val="center"/>
        <w:tblLook w:firstColumn="1" w:firstRow="1" w:lastColumn="0" w:lastRow="0" w:noHBand="0" w:noVBand="1" w:val="04A0"/>
      </w:tblPr>
      <w:tblGrid>
        <w:gridCol w:w="4702"/>
        <w:gridCol w:w="4702"/>
      </w:tblGrid>
      <w:tr>
        <w:tc>
          <w:tcPr>
            <w:tcW w:type="dxa" w:w="1701"/>
            <w:shd w:fill="D9E2F3" w:val="clear"/>
          </w:tcPr>
          <w:p>
            <w:r>
              <w:rPr>
                <w:rFonts w:ascii="Times New Roman" w:hAnsi="Times New Roman"/>
                <w:b/>
                <w:sz w:val="22"/>
              </w:rPr>
              <w:t>Tác giả</w:t>
            </w:r>
          </w:p>
        </w:tc>
        <w:tc>
          <w:tcPr>
            <w:tcW w:type="dxa" w:w="7370"/>
          </w:tcPr>
          <w:p>
            <w:r>
              <w:rPr>
                <w:rFonts w:ascii="Times New Roman" w:hAnsi="Times New Roman"/>
                <w:sz w:val="22"/>
              </w:rPr>
              <w:t>Nhóm nghiên cứu GBD 2021 (đa quốc gia)</w:t>
            </w:r>
          </w:p>
        </w:tc>
      </w:tr>
      <w:tr>
        <w:tc>
          <w:tcPr>
            <w:tcW w:type="dxa" w:w="1701"/>
            <w:shd w:fill="D9E2F3" w:val="clear"/>
          </w:tcPr>
          <w:p>
            <w:r>
              <w:rPr>
                <w:rFonts w:ascii="Times New Roman" w:hAnsi="Times New Roman"/>
                <w:b/>
                <w:sz w:val="22"/>
              </w:rPr>
              <w:t>Tạp chí</w:t>
            </w:r>
          </w:p>
        </w:tc>
        <w:tc>
          <w:tcPr>
            <w:tcW w:type="dxa" w:w="7370"/>
          </w:tcPr>
          <w:p>
            <w:r>
              <w:rPr>
                <w:rFonts w:ascii="Times New Roman" w:hAnsi="Times New Roman"/>
                <w:sz w:val="22"/>
              </w:rPr>
              <w:t>The Lancet Public Health (IF ≈ 72.4)</w:t>
            </w:r>
          </w:p>
        </w:tc>
      </w:tr>
      <w:tr>
        <w:tc>
          <w:tcPr>
            <w:tcW w:type="dxa" w:w="1701"/>
            <w:shd w:fill="D9E2F3" w:val="clear"/>
          </w:tcPr>
          <w:p>
            <w:r>
              <w:rPr>
                <w:rFonts w:ascii="Times New Roman" w:hAnsi="Times New Roman"/>
                <w:b/>
                <w:sz w:val="22"/>
              </w:rPr>
              <w:t>Năm</w:t>
            </w:r>
          </w:p>
        </w:tc>
        <w:tc>
          <w:tcPr>
            <w:tcW w:type="dxa" w:w="7370"/>
          </w:tcPr>
          <w:p>
            <w:r>
              <w:rPr>
                <w:rFonts w:ascii="Times New Roman" w:hAnsi="Times New Roman"/>
                <w:sz w:val="22"/>
              </w:rPr>
              <w:t>2025</w:t>
            </w:r>
          </w:p>
        </w:tc>
      </w:tr>
      <w:tr>
        <w:tc>
          <w:tcPr>
            <w:tcW w:type="dxa" w:w="1701"/>
            <w:shd w:fill="D9E2F3" w:val="clear"/>
          </w:tcPr>
          <w:p>
            <w:r>
              <w:rPr>
                <w:rFonts w:ascii="Times New Roman" w:hAnsi="Times New Roman"/>
                <w:b/>
                <w:sz w:val="22"/>
              </w:rPr>
              <w:t>Mẫu</w:t>
            </w:r>
          </w:p>
        </w:tc>
        <w:tc>
          <w:tcPr>
            <w:tcW w:type="dxa" w:w="7370"/>
          </w:tcPr>
          <w:p>
            <w:r>
              <w:rPr>
                <w:rFonts w:ascii="Times New Roman" w:hAnsi="Times New Roman"/>
                <w:sz w:val="22"/>
              </w:rPr>
              <w:t>10 quốc gia ASEAN (Brunei, Cambodia, Indonesia, Lào, Malaysia, Myanmar, Philippines, Singapore, Thái Lan, Việt Nam), dữ liệu GBD 1990–2021</w:t>
            </w:r>
          </w:p>
        </w:tc>
      </w:tr>
      <w:tr>
        <w:tc>
          <w:tcPr>
            <w:tcW w:type="dxa" w:w="1701"/>
            <w:shd w:fill="D9E2F3" w:val="clear"/>
          </w:tcPr>
          <w:p>
            <w:r>
              <w:rPr>
                <w:rFonts w:ascii="Times New Roman" w:hAnsi="Times New Roman"/>
                <w:b/>
                <w:sz w:val="22"/>
              </w:rPr>
              <w:t>Công cụ</w:t>
            </w:r>
          </w:p>
        </w:tc>
        <w:tc>
          <w:tcPr>
            <w:tcW w:type="dxa" w:w="7370"/>
          </w:tcPr>
          <w:p>
            <w:r>
              <w:rPr>
                <w:rFonts w:ascii="Times New Roman" w:hAnsi="Times New Roman"/>
                <w:sz w:val="22"/>
              </w:rPr>
              <w:t>Mô hình GBD (Global Burden of Disease)</w:t>
            </w:r>
          </w:p>
        </w:tc>
      </w:tr>
      <w:tr>
        <w:tc>
          <w:tcPr>
            <w:tcW w:type="dxa" w:w="1701"/>
            <w:shd w:fill="D9E2F3" w:val="clear"/>
          </w:tcPr>
          <w:p>
            <w:r>
              <w:rPr>
                <w:rFonts w:ascii="Times New Roman" w:hAnsi="Times New Roman"/>
                <w:b/>
                <w:sz w:val="22"/>
              </w:rPr>
              <w:t>Thiết kế</w:t>
            </w:r>
          </w:p>
        </w:tc>
        <w:tc>
          <w:tcPr>
            <w:tcW w:type="dxa" w:w="7370"/>
          </w:tcPr>
          <w:p>
            <w:r>
              <w:rPr>
                <w:rFonts w:ascii="Times New Roman" w:hAnsi="Times New Roman"/>
                <w:sz w:val="22"/>
              </w:rPr>
              <w:t>Phân tích dữ liệu thứ cấp GBD 2021</w:t>
            </w:r>
          </w:p>
        </w:tc>
      </w:tr>
    </w:tbl>
    <w:p/>
    <w:p>
      <w:r>
        <w:rPr>
          <w:rFonts w:ascii="Times New Roman" w:hAnsi="Times New Roman"/>
          <w:b/>
          <w:sz w:val="24"/>
        </w:rPr>
        <w:t>Kết quả chính</w:t>
      </w:r>
    </w:p>
    <w:p>
      <w:r>
        <w:rPr>
          <w:rFonts w:ascii="Times New Roman" w:hAnsi="Times New Roman"/>
          <w:sz w:val="24"/>
        </w:rPr>
        <w:t>Tỷ lệ rối loạn tâm thần chuẩn hóa theo tuổi tại ASEAN: 11,9% (10,9–12,9) năm 2021. Lo âu và trầm cảm là phổ biến nhất. Dao động từ 10,1% (Việt Nam) đến 13,2% (Malaysia). Tổng số ca: 80,4 triệu (tăng 70% so với 1990).</w:t>
      </w:r>
    </w:p>
    <w:p>
      <w:r>
        <w:rPr>
          <w:rFonts w:ascii="Times New Roman" w:hAnsi="Times New Roman"/>
          <w:sz w:val="24"/>
        </w:rPr>
        <w:t>DALYs: 11,2 triệu (tăng 87,4% từ 1990). Nhóm 10–14 tuổi có gánh nặng bệnh tật cao nhất — rối loạn tâm thần chiếm 16,3% tổng DALYs ở nhóm tuổi này. Đây là bằng chứng cấp Lancet cho thấy vị thành niên ASEAN chịu gánh nặng SKTT nặng nề nhất.</w:t>
      </w:r>
    </w:p>
    <w:p/>
    <w:p>
      <w:pPr>
        <w:pStyle w:val="Heading3"/>
      </w:pPr>
      <w:r>
        <w:rPr>
          <w:rFonts w:ascii="Times New Roman" w:hAnsi="Times New Roman"/>
          <w:color w:val="000000"/>
        </w:rPr>
        <w:t>Bài 18: So sánh giáo dục SKTT tại trường học ở Philippines, Indonesia và Nhật Bản (2025)</w:t>
      </w:r>
    </w:p>
    <w:tbl>
      <w:tblPr>
        <w:tblStyle w:val="TableGrid"/>
        <w:tblW w:type="auto" w:w="0"/>
        <w:jc w:val="center"/>
        <w:tblLook w:firstColumn="1" w:firstRow="1" w:lastColumn="0" w:lastRow="0" w:noHBand="0" w:noVBand="1" w:val="04A0"/>
      </w:tblPr>
      <w:tblGrid>
        <w:gridCol w:w="4702"/>
        <w:gridCol w:w="4702"/>
      </w:tblGrid>
      <w:tr>
        <w:tc>
          <w:tcPr>
            <w:tcW w:type="dxa" w:w="1701"/>
            <w:shd w:fill="D9E2F3" w:val="clear"/>
          </w:tcPr>
          <w:p>
            <w:r>
              <w:rPr>
                <w:rFonts w:ascii="Times New Roman" w:hAnsi="Times New Roman"/>
                <w:b/>
                <w:sz w:val="22"/>
              </w:rPr>
              <w:t>Tác giả</w:t>
            </w:r>
          </w:p>
        </w:tc>
        <w:tc>
          <w:tcPr>
            <w:tcW w:type="dxa" w:w="7370"/>
          </w:tcPr>
          <w:p>
            <w:r>
              <w:rPr>
                <w:rFonts w:ascii="Times New Roman" w:hAnsi="Times New Roman"/>
                <w:sz w:val="22"/>
              </w:rPr>
              <w:t>Nhóm nghiên cứu đa quốc gia (Philippines, Indonesia, Nhật Bản)</w:t>
            </w:r>
          </w:p>
        </w:tc>
      </w:tr>
      <w:tr>
        <w:tc>
          <w:tcPr>
            <w:tcW w:type="dxa" w:w="1701"/>
            <w:shd w:fill="D9E2F3" w:val="clear"/>
          </w:tcPr>
          <w:p>
            <w:r>
              <w:rPr>
                <w:rFonts w:ascii="Times New Roman" w:hAnsi="Times New Roman"/>
                <w:b/>
                <w:sz w:val="22"/>
              </w:rPr>
              <w:t>Tạp chí</w:t>
            </w:r>
          </w:p>
        </w:tc>
        <w:tc>
          <w:tcPr>
            <w:tcW w:type="dxa" w:w="7370"/>
          </w:tcPr>
          <w:p>
            <w:r>
              <w:rPr>
                <w:rFonts w:ascii="Times New Roman" w:hAnsi="Times New Roman"/>
                <w:sz w:val="22"/>
              </w:rPr>
              <w:t>Tropical Medicine and Health</w:t>
            </w:r>
          </w:p>
        </w:tc>
      </w:tr>
      <w:tr>
        <w:tc>
          <w:tcPr>
            <w:tcW w:type="dxa" w:w="1701"/>
            <w:shd w:fill="D9E2F3" w:val="clear"/>
          </w:tcPr>
          <w:p>
            <w:r>
              <w:rPr>
                <w:rFonts w:ascii="Times New Roman" w:hAnsi="Times New Roman"/>
                <w:b/>
                <w:sz w:val="22"/>
              </w:rPr>
              <w:t>Năm</w:t>
            </w:r>
          </w:p>
        </w:tc>
        <w:tc>
          <w:tcPr>
            <w:tcW w:type="dxa" w:w="7370"/>
          </w:tcPr>
          <w:p>
            <w:r>
              <w:rPr>
                <w:rFonts w:ascii="Times New Roman" w:hAnsi="Times New Roman"/>
                <w:sz w:val="22"/>
              </w:rPr>
              <w:t>2025</w:t>
            </w:r>
          </w:p>
        </w:tc>
      </w:tr>
      <w:tr>
        <w:tc>
          <w:tcPr>
            <w:tcW w:type="dxa" w:w="1701"/>
            <w:shd w:fill="D9E2F3" w:val="clear"/>
          </w:tcPr>
          <w:p>
            <w:r>
              <w:rPr>
                <w:rFonts w:ascii="Times New Roman" w:hAnsi="Times New Roman"/>
                <w:b/>
                <w:sz w:val="22"/>
              </w:rPr>
              <w:t>Mẫu</w:t>
            </w:r>
          </w:p>
        </w:tc>
        <w:tc>
          <w:tcPr>
            <w:tcW w:type="dxa" w:w="7370"/>
          </w:tcPr>
          <w:p>
            <w:r>
              <w:rPr>
                <w:rFonts w:ascii="Times New Roman" w:hAnsi="Times New Roman"/>
                <w:sz w:val="22"/>
              </w:rPr>
              <w:t>Phân tích chính sách &amp; chương trình giảng dạy: Philippines 22 tài liệu, Indonesia 9, Nhật Bản 6</w:t>
            </w:r>
          </w:p>
        </w:tc>
      </w:tr>
      <w:tr>
        <w:tc>
          <w:tcPr>
            <w:tcW w:type="dxa" w:w="1701"/>
            <w:shd w:fill="D9E2F3" w:val="clear"/>
          </w:tcPr>
          <w:p>
            <w:r>
              <w:rPr>
                <w:rFonts w:ascii="Times New Roman" w:hAnsi="Times New Roman"/>
                <w:b/>
                <w:sz w:val="22"/>
              </w:rPr>
              <w:t>Công cụ</w:t>
            </w:r>
          </w:p>
        </w:tc>
        <w:tc>
          <w:tcPr>
            <w:tcW w:type="dxa" w:w="7370"/>
          </w:tcPr>
          <w:p>
            <w:r>
              <w:rPr>
                <w:rFonts w:ascii="Times New Roman" w:hAnsi="Times New Roman"/>
                <w:sz w:val="22"/>
              </w:rPr>
              <w:t>Phân tích so sánh chính sách và chương trình giảng dạy</w:t>
            </w:r>
          </w:p>
        </w:tc>
      </w:tr>
      <w:tr>
        <w:tc>
          <w:tcPr>
            <w:tcW w:type="dxa" w:w="1701"/>
            <w:shd w:fill="D9E2F3" w:val="clear"/>
          </w:tcPr>
          <w:p>
            <w:r>
              <w:rPr>
                <w:rFonts w:ascii="Times New Roman" w:hAnsi="Times New Roman"/>
                <w:b/>
                <w:sz w:val="22"/>
              </w:rPr>
              <w:t>Thiết kế</w:t>
            </w:r>
          </w:p>
        </w:tc>
        <w:tc>
          <w:tcPr>
            <w:tcW w:type="dxa" w:w="7370"/>
          </w:tcPr>
          <w:p>
            <w:r>
              <w:rPr>
                <w:rFonts w:ascii="Times New Roman" w:hAnsi="Times New Roman"/>
                <w:sz w:val="22"/>
              </w:rPr>
              <w:t>Nghiên cứu so sánh (comparative study)</w:t>
            </w:r>
          </w:p>
        </w:tc>
      </w:tr>
    </w:tbl>
    <w:p/>
    <w:p>
      <w:r>
        <w:rPr>
          <w:rFonts w:ascii="Times New Roman" w:hAnsi="Times New Roman"/>
          <w:b/>
          <w:sz w:val="24"/>
        </w:rPr>
        <w:t>Kết quả chính</w:t>
      </w:r>
    </w:p>
    <w:p>
      <w:r>
        <w:rPr>
          <w:rFonts w:ascii="Times New Roman" w:hAnsi="Times New Roman"/>
          <w:sz w:val="24"/>
        </w:rPr>
        <w:t>Philippines tích hợp SKTT vào giáo dục sức khỏe, giáo dục giá trị và hướng dẫn lớp chủ nhiệm, bao phủ gần như toàn bộ lớp 1–12. Nhật Bản tích hợp vào giáo dục sức khỏe và thể chất lớp 5–10. Indonesia tích hợp vào giáo dục tôn giáo lớp 1–12.</w:t>
      </w:r>
    </w:p>
    <w:p>
      <w:r>
        <w:rPr>
          <w:rFonts w:ascii="Times New Roman" w:hAnsi="Times New Roman"/>
          <w:sz w:val="24"/>
        </w:rPr>
        <w:t>Philippines và Indonesia có chính sách SKTT rõ ràng, nhưng Nhật Bản không có chính sách lõi về giáo dục SKTT mà phát triển qua hướng dẫn chương trình học. Cả 3 nước đều thực hiện giáo dục SKTT chưa đầy đủ. Phát hiện quan trọng: Việt Nam và các nước ASEAN khác vắng bóng trong nghiên cứu so sánh này.</w:t>
      </w:r>
    </w:p>
    <w:p/>
    <w:p>
      <w:pPr>
        <w:pStyle w:val="Heading3"/>
      </w:pPr>
      <w:r>
        <w:rPr>
          <w:rFonts w:ascii="Times New Roman" w:hAnsi="Times New Roman"/>
          <w:color w:val="000000"/>
        </w:rPr>
        <w:t>Bài 19: Mallari và cs. (2025) — Chương trình SKTT trường học và yếu tố bảo vệ ở VTN Philippines</w:t>
      </w:r>
    </w:p>
    <w:tbl>
      <w:tblPr>
        <w:tblStyle w:val="TableGrid"/>
        <w:tblW w:type="auto" w:w="0"/>
        <w:jc w:val="center"/>
        <w:tblLook w:firstColumn="1" w:firstRow="1" w:lastColumn="0" w:lastRow="0" w:noHBand="0" w:noVBand="1" w:val="04A0"/>
      </w:tblPr>
      <w:tblGrid>
        <w:gridCol w:w="4702"/>
        <w:gridCol w:w="4702"/>
      </w:tblGrid>
      <w:tr>
        <w:tc>
          <w:tcPr>
            <w:tcW w:type="dxa" w:w="1701"/>
            <w:shd w:fill="D9E2F3" w:val="clear"/>
          </w:tcPr>
          <w:p>
            <w:r>
              <w:rPr>
                <w:rFonts w:ascii="Times New Roman" w:hAnsi="Times New Roman"/>
                <w:b/>
                <w:sz w:val="22"/>
              </w:rPr>
              <w:t>Tác giả</w:t>
            </w:r>
          </w:p>
        </w:tc>
        <w:tc>
          <w:tcPr>
            <w:tcW w:type="dxa" w:w="7370"/>
          </w:tcPr>
          <w:p>
            <w:r>
              <w:rPr>
                <w:rFonts w:ascii="Times New Roman" w:hAnsi="Times New Roman"/>
                <w:sz w:val="22"/>
              </w:rPr>
              <w:t>Mallari và cộng sự</w:t>
            </w:r>
          </w:p>
        </w:tc>
      </w:tr>
      <w:tr>
        <w:tc>
          <w:tcPr>
            <w:tcW w:type="dxa" w:w="1701"/>
            <w:shd w:fill="D9E2F3" w:val="clear"/>
          </w:tcPr>
          <w:p>
            <w:r>
              <w:rPr>
                <w:rFonts w:ascii="Times New Roman" w:hAnsi="Times New Roman"/>
                <w:b/>
                <w:sz w:val="22"/>
              </w:rPr>
              <w:t>Tạp chí</w:t>
            </w:r>
          </w:p>
        </w:tc>
        <w:tc>
          <w:tcPr>
            <w:tcW w:type="dxa" w:w="7370"/>
          </w:tcPr>
          <w:p>
            <w:r>
              <w:rPr>
                <w:rFonts w:ascii="Times New Roman" w:hAnsi="Times New Roman"/>
                <w:sz w:val="22"/>
              </w:rPr>
              <w:t>Psychology in the Schools (Wiley)</w:t>
            </w:r>
          </w:p>
        </w:tc>
      </w:tr>
      <w:tr>
        <w:tc>
          <w:tcPr>
            <w:tcW w:type="dxa" w:w="1701"/>
            <w:shd w:fill="D9E2F3" w:val="clear"/>
          </w:tcPr>
          <w:p>
            <w:r>
              <w:rPr>
                <w:rFonts w:ascii="Times New Roman" w:hAnsi="Times New Roman"/>
                <w:b/>
                <w:sz w:val="22"/>
              </w:rPr>
              <w:t>Năm</w:t>
            </w:r>
          </w:p>
        </w:tc>
        <w:tc>
          <w:tcPr>
            <w:tcW w:type="dxa" w:w="7370"/>
          </w:tcPr>
          <w:p>
            <w:r>
              <w:rPr>
                <w:rFonts w:ascii="Times New Roman" w:hAnsi="Times New Roman"/>
                <w:sz w:val="22"/>
              </w:rPr>
              <w:t>2025</w:t>
            </w:r>
          </w:p>
        </w:tc>
      </w:tr>
      <w:tr>
        <w:tc>
          <w:tcPr>
            <w:tcW w:type="dxa" w:w="1701"/>
            <w:shd w:fill="D9E2F3" w:val="clear"/>
          </w:tcPr>
          <w:p>
            <w:r>
              <w:rPr>
                <w:rFonts w:ascii="Times New Roman" w:hAnsi="Times New Roman"/>
                <w:b/>
                <w:sz w:val="22"/>
              </w:rPr>
              <w:t>Mẫu</w:t>
            </w:r>
          </w:p>
        </w:tc>
        <w:tc>
          <w:tcPr>
            <w:tcW w:type="dxa" w:w="7370"/>
          </w:tcPr>
          <w:p>
            <w:r>
              <w:rPr>
                <w:rFonts w:ascii="Times New Roman" w:hAnsi="Times New Roman"/>
                <w:sz w:val="22"/>
              </w:rPr>
              <w:t>Vị thành niên đi học tại Philippines</w:t>
            </w:r>
          </w:p>
        </w:tc>
      </w:tr>
      <w:tr>
        <w:tc>
          <w:tcPr>
            <w:tcW w:type="dxa" w:w="1701"/>
            <w:shd w:fill="D9E2F3" w:val="clear"/>
          </w:tcPr>
          <w:p>
            <w:r>
              <w:rPr>
                <w:rFonts w:ascii="Times New Roman" w:hAnsi="Times New Roman"/>
                <w:b/>
                <w:sz w:val="22"/>
              </w:rPr>
              <w:t>Công cụ</w:t>
            </w:r>
          </w:p>
        </w:tc>
        <w:tc>
          <w:tcPr>
            <w:tcW w:type="dxa" w:w="7370"/>
          </w:tcPr>
          <w:p>
            <w:r>
              <w:rPr>
                <w:rFonts w:ascii="Times New Roman" w:hAnsi="Times New Roman"/>
                <w:sz w:val="22"/>
              </w:rPr>
              <w:t>Đánh giá chương trình SKTT trường học + yếu tố bảo vệ</w:t>
            </w:r>
          </w:p>
        </w:tc>
      </w:tr>
      <w:tr>
        <w:tc>
          <w:tcPr>
            <w:tcW w:type="dxa" w:w="1701"/>
            <w:shd w:fill="D9E2F3" w:val="clear"/>
          </w:tcPr>
          <w:p>
            <w:r>
              <w:rPr>
                <w:rFonts w:ascii="Times New Roman" w:hAnsi="Times New Roman"/>
                <w:b/>
                <w:sz w:val="22"/>
              </w:rPr>
              <w:t>Thiết kế</w:t>
            </w:r>
          </w:p>
        </w:tc>
        <w:tc>
          <w:tcPr>
            <w:tcW w:type="dxa" w:w="7370"/>
          </w:tcPr>
          <w:p>
            <w:r>
              <w:rPr>
                <w:rFonts w:ascii="Times New Roman" w:hAnsi="Times New Roman"/>
                <w:sz w:val="22"/>
              </w:rPr>
              <w:t>Nghiên cứu cắt ngang</w:t>
            </w:r>
          </w:p>
        </w:tc>
      </w:tr>
    </w:tbl>
    <w:p/>
    <w:p>
      <w:r>
        <w:rPr>
          <w:rFonts w:ascii="Times New Roman" w:hAnsi="Times New Roman"/>
          <w:b/>
          <w:sz w:val="24"/>
        </w:rPr>
        <w:t>Kết quả chính</w:t>
      </w:r>
    </w:p>
    <w:p>
      <w:r>
        <w:rPr>
          <w:rFonts w:ascii="Times New Roman" w:hAnsi="Times New Roman"/>
          <w:sz w:val="24"/>
        </w:rPr>
        <w:t>Tỷ lệ rối nhiễu tâm lý gia tăng ở Philippines — quốc gia có nguồn lực SKTT rất hạn chế. 33% VTN Philippines báo cáo rối nhiễu tâm lý nhưng chỉ 2% sử dụng dịch vụ hỗ trợ SKTT. Khoảng cách dịch vụ rất lớn.</w:t>
      </w:r>
    </w:p>
    <w:p>
      <w:r>
        <w:rPr>
          <w:rFonts w:ascii="Times New Roman" w:hAnsi="Times New Roman"/>
          <w:sz w:val="24"/>
        </w:rPr>
        <w:t>Các yếu tố bảo vệ được xác định: hỗ trợ xã hội, khả năng phục hồi, hoạt động thể chất, và các chương trình SKTT tại trường. Nghiên cứu nhấn mạnh sự cần thiết phải mở rộng chương trình SKTT trường học với nguồn lực hạn chế — bài học cho Việt Nam và các nước ASEAN tương tự.</w:t>
      </w:r>
    </w:p>
    <w:p/>
    <w:p>
      <w:pPr>
        <w:pStyle w:val="Heading2"/>
      </w:pPr>
      <w:r>
        <w:rPr>
          <w:rFonts w:ascii="Times New Roman" w:hAnsi="Times New Roman"/>
          <w:color w:val="000000"/>
        </w:rPr>
        <w:t>D.3 THẾ GIỚI BỔ SUNG</w:t>
      </w:r>
    </w:p>
    <w:p>
      <w:pPr>
        <w:pStyle w:val="Heading3"/>
      </w:pPr>
      <w:r>
        <w:rPr>
          <w:rFonts w:ascii="Times New Roman" w:hAnsi="Times New Roman"/>
          <w:color w:val="000000"/>
        </w:rPr>
        <w:t>Bài 20: Meta-analysis can thiệp toàn trường (whole-school) nâng cao SKTT ở VTN (2025)</w:t>
      </w:r>
    </w:p>
    <w:tbl>
      <w:tblPr>
        <w:tblStyle w:val="TableGrid"/>
        <w:tblW w:type="auto" w:w="0"/>
        <w:jc w:val="center"/>
        <w:tblLook w:firstColumn="1" w:firstRow="1" w:lastColumn="0" w:lastRow="0" w:noHBand="0" w:noVBand="1" w:val="04A0"/>
      </w:tblPr>
      <w:tblGrid>
        <w:gridCol w:w="4702"/>
        <w:gridCol w:w="4702"/>
      </w:tblGrid>
      <w:tr>
        <w:tc>
          <w:tcPr>
            <w:tcW w:type="dxa" w:w="1701"/>
            <w:shd w:fill="D9E2F3" w:val="clear"/>
          </w:tcPr>
          <w:p>
            <w:r>
              <w:rPr>
                <w:rFonts w:ascii="Times New Roman" w:hAnsi="Times New Roman"/>
                <w:b/>
                <w:sz w:val="22"/>
              </w:rPr>
              <w:t>Tác giả</w:t>
            </w:r>
          </w:p>
        </w:tc>
        <w:tc>
          <w:tcPr>
            <w:tcW w:type="dxa" w:w="7370"/>
          </w:tcPr>
          <w:p>
            <w:r>
              <w:rPr>
                <w:rFonts w:ascii="Times New Roman" w:hAnsi="Times New Roman"/>
                <w:sz w:val="22"/>
              </w:rPr>
              <w:t>Nhóm nghiên cứu quốc tế</w:t>
            </w:r>
          </w:p>
        </w:tc>
      </w:tr>
      <w:tr>
        <w:tc>
          <w:tcPr>
            <w:tcW w:type="dxa" w:w="1701"/>
            <w:shd w:fill="D9E2F3" w:val="clear"/>
          </w:tcPr>
          <w:p>
            <w:r>
              <w:rPr>
                <w:rFonts w:ascii="Times New Roman" w:hAnsi="Times New Roman"/>
                <w:b/>
                <w:sz w:val="22"/>
              </w:rPr>
              <w:t>Tạp chí</w:t>
            </w:r>
          </w:p>
        </w:tc>
        <w:tc>
          <w:tcPr>
            <w:tcW w:type="dxa" w:w="7370"/>
          </w:tcPr>
          <w:p>
            <w:r>
              <w:rPr>
                <w:rFonts w:ascii="Times New Roman" w:hAnsi="Times New Roman"/>
                <w:sz w:val="22"/>
              </w:rPr>
              <w:t>Journal of Youth and Adolescence (Springer, IF ≈ 4.6)</w:t>
            </w:r>
          </w:p>
        </w:tc>
      </w:tr>
      <w:tr>
        <w:tc>
          <w:tcPr>
            <w:tcW w:type="dxa" w:w="1701"/>
            <w:shd w:fill="D9E2F3" w:val="clear"/>
          </w:tcPr>
          <w:p>
            <w:r>
              <w:rPr>
                <w:rFonts w:ascii="Times New Roman" w:hAnsi="Times New Roman"/>
                <w:b/>
                <w:sz w:val="22"/>
              </w:rPr>
              <w:t>Năm</w:t>
            </w:r>
          </w:p>
        </w:tc>
        <w:tc>
          <w:tcPr>
            <w:tcW w:type="dxa" w:w="7370"/>
          </w:tcPr>
          <w:p>
            <w:r>
              <w:rPr>
                <w:rFonts w:ascii="Times New Roman" w:hAnsi="Times New Roman"/>
                <w:sz w:val="22"/>
              </w:rPr>
              <w:t>2025</w:t>
            </w:r>
          </w:p>
        </w:tc>
      </w:tr>
      <w:tr>
        <w:tc>
          <w:tcPr>
            <w:tcW w:type="dxa" w:w="1701"/>
            <w:shd w:fill="D9E2F3" w:val="clear"/>
          </w:tcPr>
          <w:p>
            <w:r>
              <w:rPr>
                <w:rFonts w:ascii="Times New Roman" w:hAnsi="Times New Roman"/>
                <w:b/>
                <w:sz w:val="22"/>
              </w:rPr>
              <w:t>Mẫu</w:t>
            </w:r>
          </w:p>
        </w:tc>
        <w:tc>
          <w:tcPr>
            <w:tcW w:type="dxa" w:w="7370"/>
          </w:tcPr>
          <w:p>
            <w:r>
              <w:rPr>
                <w:rFonts w:ascii="Times New Roman" w:hAnsi="Times New Roman"/>
                <w:sz w:val="22"/>
              </w:rPr>
              <w:t>28 nghiên cứu trong 58 ấn phẩm</w:t>
            </w:r>
          </w:p>
        </w:tc>
      </w:tr>
      <w:tr>
        <w:tc>
          <w:tcPr>
            <w:tcW w:type="dxa" w:w="1701"/>
            <w:shd w:fill="D9E2F3" w:val="clear"/>
          </w:tcPr>
          <w:p>
            <w:r>
              <w:rPr>
                <w:rFonts w:ascii="Times New Roman" w:hAnsi="Times New Roman"/>
                <w:b/>
                <w:sz w:val="22"/>
              </w:rPr>
              <w:t>Công cụ</w:t>
            </w:r>
          </w:p>
        </w:tc>
        <w:tc>
          <w:tcPr>
            <w:tcW w:type="dxa" w:w="7370"/>
          </w:tcPr>
          <w:p>
            <w:r>
              <w:rPr>
                <w:rFonts w:ascii="Times New Roman" w:hAnsi="Times New Roman"/>
                <w:sz w:val="22"/>
              </w:rPr>
              <w:t>Tổng quan hệ thống và phân tích tổng hợp (PRISMA)</w:t>
            </w:r>
          </w:p>
        </w:tc>
      </w:tr>
      <w:tr>
        <w:tc>
          <w:tcPr>
            <w:tcW w:type="dxa" w:w="1701"/>
            <w:shd w:fill="D9E2F3" w:val="clear"/>
          </w:tcPr>
          <w:p>
            <w:r>
              <w:rPr>
                <w:rFonts w:ascii="Times New Roman" w:hAnsi="Times New Roman"/>
                <w:b/>
                <w:sz w:val="22"/>
              </w:rPr>
              <w:t>Thiết kế</w:t>
            </w:r>
          </w:p>
        </w:tc>
        <w:tc>
          <w:tcPr>
            <w:tcW w:type="dxa" w:w="7370"/>
          </w:tcPr>
          <w:p>
            <w:r>
              <w:rPr>
                <w:rFonts w:ascii="Times New Roman" w:hAnsi="Times New Roman"/>
                <w:sz w:val="22"/>
              </w:rPr>
              <w:t>Tổng quan hệ thống và phân tích tổng hợp RCTs cập nhật</w:t>
            </w:r>
          </w:p>
        </w:tc>
      </w:tr>
    </w:tbl>
    <w:p/>
    <w:p>
      <w:r>
        <w:rPr>
          <w:rFonts w:ascii="Times New Roman" w:hAnsi="Times New Roman"/>
          <w:b/>
          <w:sz w:val="24"/>
        </w:rPr>
        <w:t>Kết quả chính</w:t>
      </w:r>
    </w:p>
    <w:p>
      <w:r>
        <w:rPr>
          <w:rFonts w:ascii="Times New Roman" w:hAnsi="Times New Roman"/>
          <w:sz w:val="24"/>
        </w:rPr>
        <w:t>Đánh giá hiệu quả can thiệp "whole-school" (toàn trường) — cách tiếp cận tích hợp SKTT vào mọi hoạt động trường học thay vì chỉ can thiệp cho cá nhân/nhóm nhỏ. 28 nghiên cứu gồm các chương trình đa dạng: SEL (học tập cảm xúc–xã hội), phòng chống bắt nạt, tăng cường phục hồi.</w:t>
      </w:r>
    </w:p>
    <w:p>
      <w:r>
        <w:rPr>
          <w:rFonts w:ascii="Times New Roman" w:hAnsi="Times New Roman"/>
          <w:sz w:val="24"/>
        </w:rPr>
        <w:t>Kết quả cho thấy can thiệp whole-school có hiệu quả cho cả HS khỏe mạnh và HS có triệu chứng SKTT cao. CBT là phương thức hiệu quả nhất cho giảm lo âu. Tuy nhiên, hiệu quả duy trì dài hạn (&gt;12 tháng) vẫn chưa rõ ràng — cần booster sessions. Bài học cho Việt Nam: nên phát triển mô hình whole-school thay vì chỉ tư vấn cá nhân.</w:t>
      </w:r>
    </w:p>
    <w:p/>
    <w:p>
      <w:pPr>
        <w:pStyle w:val="Heading3"/>
      </w:pPr>
      <w:r>
        <w:rPr>
          <w:rFonts w:ascii="Times New Roman" w:hAnsi="Times New Roman"/>
          <w:color w:val="000000"/>
        </w:rPr>
        <w:t>Bài 21: Anderson (2025) — Yếu tố góp phần vào gia tăng lo âu ở VTN: tổng quan tường thuật</w:t>
      </w:r>
    </w:p>
    <w:tbl>
      <w:tblPr>
        <w:tblStyle w:val="TableGrid"/>
        <w:tblW w:type="auto" w:w="0"/>
        <w:jc w:val="center"/>
        <w:tblLook w:firstColumn="1" w:firstRow="1" w:lastColumn="0" w:lastRow="0" w:noHBand="0" w:noVBand="1" w:val="04A0"/>
      </w:tblPr>
      <w:tblGrid>
        <w:gridCol w:w="4702"/>
        <w:gridCol w:w="4702"/>
      </w:tblGrid>
      <w:tr>
        <w:tc>
          <w:tcPr>
            <w:tcW w:type="dxa" w:w="1701"/>
            <w:shd w:fill="D9E2F3" w:val="clear"/>
          </w:tcPr>
          <w:p>
            <w:r>
              <w:rPr>
                <w:rFonts w:ascii="Times New Roman" w:hAnsi="Times New Roman"/>
                <w:b/>
                <w:sz w:val="22"/>
              </w:rPr>
              <w:t>Tác giả</w:t>
            </w:r>
          </w:p>
        </w:tc>
        <w:tc>
          <w:tcPr>
            <w:tcW w:type="dxa" w:w="7370"/>
          </w:tcPr>
          <w:p>
            <w:r>
              <w:rPr>
                <w:rFonts w:ascii="Times New Roman" w:hAnsi="Times New Roman"/>
                <w:sz w:val="22"/>
              </w:rPr>
              <w:t>C.A. Anderson</w:t>
            </w:r>
          </w:p>
        </w:tc>
      </w:tr>
      <w:tr>
        <w:tc>
          <w:tcPr>
            <w:tcW w:type="dxa" w:w="1701"/>
            <w:shd w:fill="D9E2F3" w:val="clear"/>
          </w:tcPr>
          <w:p>
            <w:r>
              <w:rPr>
                <w:rFonts w:ascii="Times New Roman" w:hAnsi="Times New Roman"/>
                <w:b/>
                <w:sz w:val="22"/>
              </w:rPr>
              <w:t>Tạp chí</w:t>
            </w:r>
          </w:p>
        </w:tc>
        <w:tc>
          <w:tcPr>
            <w:tcW w:type="dxa" w:w="7370"/>
          </w:tcPr>
          <w:p>
            <w:r>
              <w:rPr>
                <w:rFonts w:ascii="Times New Roman" w:hAnsi="Times New Roman"/>
                <w:sz w:val="22"/>
              </w:rPr>
              <w:t>Journal of Child and Adolescent Psychiatric Nursing (Wiley)</w:t>
            </w:r>
          </w:p>
        </w:tc>
      </w:tr>
      <w:tr>
        <w:tc>
          <w:tcPr>
            <w:tcW w:type="dxa" w:w="1701"/>
            <w:shd w:fill="D9E2F3" w:val="clear"/>
          </w:tcPr>
          <w:p>
            <w:r>
              <w:rPr>
                <w:rFonts w:ascii="Times New Roman" w:hAnsi="Times New Roman"/>
                <w:b/>
                <w:sz w:val="22"/>
              </w:rPr>
              <w:t>Năm</w:t>
            </w:r>
          </w:p>
        </w:tc>
        <w:tc>
          <w:tcPr>
            <w:tcW w:type="dxa" w:w="7370"/>
          </w:tcPr>
          <w:p>
            <w:r>
              <w:rPr>
                <w:rFonts w:ascii="Times New Roman" w:hAnsi="Times New Roman"/>
                <w:sz w:val="22"/>
              </w:rPr>
              <w:t>2025</w:t>
            </w:r>
          </w:p>
        </w:tc>
      </w:tr>
      <w:tr>
        <w:tc>
          <w:tcPr>
            <w:tcW w:type="dxa" w:w="1701"/>
            <w:shd w:fill="D9E2F3" w:val="clear"/>
          </w:tcPr>
          <w:p>
            <w:r>
              <w:rPr>
                <w:rFonts w:ascii="Times New Roman" w:hAnsi="Times New Roman"/>
                <w:b/>
                <w:sz w:val="22"/>
              </w:rPr>
              <w:t>Mẫu</w:t>
            </w:r>
          </w:p>
        </w:tc>
        <w:tc>
          <w:tcPr>
            <w:tcW w:type="dxa" w:w="7370"/>
          </w:tcPr>
          <w:p>
            <w:r>
              <w:rPr>
                <w:rFonts w:ascii="Times New Roman" w:hAnsi="Times New Roman"/>
                <w:sz w:val="22"/>
              </w:rPr>
              <w:t>Tổng quan 61 bài báo</w:t>
            </w:r>
          </w:p>
        </w:tc>
      </w:tr>
      <w:tr>
        <w:tc>
          <w:tcPr>
            <w:tcW w:type="dxa" w:w="1701"/>
            <w:shd w:fill="D9E2F3" w:val="clear"/>
          </w:tcPr>
          <w:p>
            <w:r>
              <w:rPr>
                <w:rFonts w:ascii="Times New Roman" w:hAnsi="Times New Roman"/>
                <w:b/>
                <w:sz w:val="22"/>
              </w:rPr>
              <w:t>Công cụ</w:t>
            </w:r>
          </w:p>
        </w:tc>
        <w:tc>
          <w:tcPr>
            <w:tcW w:type="dxa" w:w="7370"/>
          </w:tcPr>
          <w:p>
            <w:r>
              <w:rPr>
                <w:rFonts w:ascii="Times New Roman" w:hAnsi="Times New Roman"/>
                <w:sz w:val="22"/>
              </w:rPr>
              <w:t>Narrative review</w:t>
            </w:r>
          </w:p>
        </w:tc>
      </w:tr>
      <w:tr>
        <w:tc>
          <w:tcPr>
            <w:tcW w:type="dxa" w:w="1701"/>
            <w:shd w:fill="D9E2F3" w:val="clear"/>
          </w:tcPr>
          <w:p>
            <w:r>
              <w:rPr>
                <w:rFonts w:ascii="Times New Roman" w:hAnsi="Times New Roman"/>
                <w:b/>
                <w:sz w:val="22"/>
              </w:rPr>
              <w:t>Thiết kế</w:t>
            </w:r>
          </w:p>
        </w:tc>
        <w:tc>
          <w:tcPr>
            <w:tcW w:type="dxa" w:w="7370"/>
          </w:tcPr>
          <w:p>
            <w:r>
              <w:rPr>
                <w:rFonts w:ascii="Times New Roman" w:hAnsi="Times New Roman"/>
                <w:sz w:val="22"/>
              </w:rPr>
              <w:t>Tổng quan tường thuật (Narrative Review)</w:t>
            </w:r>
          </w:p>
        </w:tc>
      </w:tr>
    </w:tbl>
    <w:p/>
    <w:p>
      <w:r>
        <w:rPr>
          <w:rFonts w:ascii="Times New Roman" w:hAnsi="Times New Roman"/>
          <w:b/>
          <w:sz w:val="24"/>
        </w:rPr>
        <w:t>Kết quả chính</w:t>
      </w:r>
    </w:p>
    <w:p>
      <w:r>
        <w:rPr>
          <w:rFonts w:ascii="Times New Roman" w:hAnsi="Times New Roman"/>
          <w:sz w:val="24"/>
        </w:rPr>
        <w:t>31,9% VTN 13–18 tuổi đã hoặc đang được chẩn đoán rối loạn lo âu. 31,5% có triệu chứng trầm cảm. Thế hệ Z (sinh 1997–2012) có tỷ lệ lo âu cao nhất trong 3 thế hệ gần đây. COVID-19 làm trầm trọng thêm xu hướng vốn đã tăng trước đại dịch.</w:t>
      </w:r>
    </w:p>
    <w:p>
      <w:r>
        <w:rPr>
          <w:rFonts w:ascii="Times New Roman" w:hAnsi="Times New Roman"/>
          <w:sz w:val="24"/>
        </w:rPr>
        <w:t>48/52 nghiên cứu cho thấy tương quan dương giữa áp lực học tập và SKTT kém ở VTN. Các yếu tố khác: mạng xã hội, thiếu ngủ, cô lập xã hội, thay đổi cấu trúc gia đình. Khuyến nghị: giáo dục phụ huynh, chương trình SEL tại trường, tăng cường kỹ năng ứng phó cho VTN.</w:t>
      </w:r>
    </w:p>
    <w:p/>
    <w:p>
      <w:pPr>
        <w:pStyle w:val="Heading1"/>
      </w:pPr>
      <w:r>
        <w:rPr>
          <w:rFonts w:ascii="Times New Roman" w:hAnsi="Times New Roman"/>
          <w:color w:val="000000"/>
        </w:rPr>
        <w:t>PHẢN BIỆN 10 BÀI BỔ SUNG</w:t>
      </w:r>
    </w:p>
    <w:p>
      <w:r>
        <w:rPr>
          <w:rFonts w:ascii="Times New Roman" w:hAnsi="Times New Roman"/>
          <w:b/>
          <w:sz w:val="24"/>
        </w:rPr>
        <w:t>Bài 12 – An Giang (2024)</w:t>
      </w:r>
    </w:p>
    <w:p>
      <w:r>
        <w:rPr>
          <w:rFonts w:ascii="Times New Roman" w:hAnsi="Times New Roman"/>
          <w:sz w:val="24"/>
        </w:rPr>
        <w:t>Hạn chế: cỡ mẫu nhỏ (n = 366), chỉ 1 trường, vùng nông thôn An Giang không đại diện cả nước. Tỷ lệ lo âu 61,2% cao bất thường — cần xem xét ngưỡng cắt DASS-21 và điều kiện khảo sát. Ưu điểm: dữ liệu hiếm từ vùng nông thôn ĐBSCL.</w:t>
      </w:r>
    </w:p>
    <w:p>
      <w:r>
        <w:rPr>
          <w:rFonts w:ascii="Times New Roman" w:hAnsi="Times New Roman"/>
          <w:b/>
          <w:sz w:val="24"/>
        </w:rPr>
        <w:t>Bài 13 – Trần Hồ Vĩnh Lộc (TP.HCM, 2024)</w:t>
      </w:r>
    </w:p>
    <w:p>
      <w:r>
        <w:rPr>
          <w:rFonts w:ascii="Times New Roman" w:hAnsi="Times New Roman"/>
          <w:sz w:val="24"/>
        </w:rPr>
        <w:t>Ưu điểm: cỡ mẫu tốt (n = 976), chọn mẫu ngẫu nhiên nhiều giai đoạn, dùng DASS-Y (chuyên cho TTN). Hạn chế: chỉ 2 trường TP.HCM. Phát hiện thú vị về "trình độ mẹ cao → stress cao" cần nghiên cứu sâu hơn. Tạp chí trong nước.</w:t>
      </w:r>
    </w:p>
    <w:p>
      <w:r>
        <w:rPr>
          <w:rFonts w:ascii="Times New Roman" w:hAnsi="Times New Roman"/>
          <w:b/>
          <w:sz w:val="24"/>
        </w:rPr>
        <w:t>Bài 14 – Nguyễn Thị Hương (Thái Nguyên, 2024)</w:t>
      </w:r>
    </w:p>
    <w:p>
      <w:r>
        <w:rPr>
          <w:rFonts w:ascii="Times New Roman" w:hAnsi="Times New Roman"/>
          <w:sz w:val="24"/>
        </w:rPr>
        <w:t>Ưu điểm nổi bật: dùng chẩn đoán lâm sàng ICD-10 (không chỉ sàng lọc), cho tỷ lệ 6,3% — thực tế hơn nhiều so với DASS-21. Hạn chế: chỉ 1 trường THCS ở đô thị. Không đánh giá lo âu, chỉ trầm cảm. Bài tham chiếu quan trọng để so sánh sàng lọc vs chẩn đoán.</w:t>
      </w:r>
    </w:p>
    <w:p>
      <w:r>
        <w:rPr>
          <w:rFonts w:ascii="Times New Roman" w:hAnsi="Times New Roman"/>
          <w:b/>
          <w:sz w:val="24"/>
        </w:rPr>
        <w:t>Bài 15 – Nguyễn HTT (Hà Nội, 2024)</w:t>
      </w:r>
    </w:p>
    <w:p>
      <w:r>
        <w:rPr>
          <w:rFonts w:ascii="Times New Roman" w:hAnsi="Times New Roman"/>
          <w:sz w:val="24"/>
        </w:rPr>
        <w:t>Ưu điểm: hợp tác quốc tế (Singapore, Úc, Pháp), dùng RADS-2 chuyên biệt, phân tích Tobit đa biến. Hạn chế: chỉ HS Hà Nội, thiết kế cắt ngang. RADS-2 đo trầm cảm, không đo lo âu trực tiếp. Tuy nhiên, kết quả về vai trò gia đình/trường học rất giá trị cho thiết kế can thiệp.</w:t>
      </w:r>
    </w:p>
    <w:p>
      <w:r>
        <w:rPr>
          <w:rFonts w:ascii="Times New Roman" w:hAnsi="Times New Roman"/>
          <w:b/>
          <w:sz w:val="24"/>
        </w:rPr>
        <w:t>Bài 16 – Nguyễn Danh Lâm (Thanh Hóa, 2024)</w:t>
      </w:r>
    </w:p>
    <w:p>
      <w:r>
        <w:rPr>
          <w:rFonts w:ascii="Times New Roman" w:hAnsi="Times New Roman"/>
          <w:sz w:val="24"/>
        </w:rPr>
        <w:t>Ưu điểm: dữ liệu hiếm từ vùng bán đô thị. Dữ liệu về tự tử rất đáng lo. Hạn chế: bài đăng năm 2022 (Vol. 516) nên dữ liệu có thể từ 2021–2022, sát giới hạn 2024. Cỡ mẫu vừa (n = 482). DASS-21 là sàng lọc, tỷ lệ cao (49% lo âu) cần xác nhận bằng chẩn đoán.</w:t>
      </w:r>
    </w:p>
    <w:p>
      <w:r>
        <w:rPr>
          <w:rFonts w:ascii="Times New Roman" w:hAnsi="Times New Roman"/>
          <w:b/>
          <w:sz w:val="24"/>
        </w:rPr>
        <w:t>Bài 17 – GBD 2021 ASEAN (Lancet, 2025)</w:t>
      </w:r>
    </w:p>
    <w:p>
      <w:r>
        <w:rPr>
          <w:rFonts w:ascii="Times New Roman" w:hAnsi="Times New Roman"/>
          <w:sz w:val="24"/>
        </w:rPr>
        <w:t>Ưu điểm vượt trội: Lancet Public Health (IF ~72), dữ liệu GBD chuẩn hóa 30 năm, 10 quốc gia ASEAN. Hạn chế: dữ liệu GBD phụ thuộc vào chất lượng báo cáo quốc gia — Việt Nam, Myanmar, Lào có thể underreport. Không phân tích riêng HS THCS/THPT. Tuy nhiên, nhóm 10–14 tuổi có gánh nặng cao nhất = rất phù hợp chủ đề.</w:t>
      </w:r>
    </w:p>
    <w:p>
      <w:r>
        <w:rPr>
          <w:rFonts w:ascii="Times New Roman" w:hAnsi="Times New Roman"/>
          <w:b/>
          <w:sz w:val="24"/>
        </w:rPr>
        <w:t>Bài 18 – So sánh giáo dục SKTT 3 nước châu Á (2025)</w:t>
      </w:r>
    </w:p>
    <w:p>
      <w:r>
        <w:rPr>
          <w:rFonts w:ascii="Times New Roman" w:hAnsi="Times New Roman"/>
          <w:sz w:val="24"/>
        </w:rPr>
        <w:t>Ưu điểm: so sánh chính sách thực tế, ứng dụng cao. Hạn chế: chỉ 3 nước (thiếu VN, Thái Lan, Malaysia), phân tích tài liệu chứ không khảo sát thực tế. Không đánh giá hiệu quả can thiệp. Tuy nhiên, bổ sung góc nhìn chính sách mà các nghiên cứu dịch tễ thiếu.</w:t>
      </w:r>
    </w:p>
    <w:p>
      <w:r>
        <w:rPr>
          <w:rFonts w:ascii="Times New Roman" w:hAnsi="Times New Roman"/>
          <w:b/>
          <w:sz w:val="24"/>
        </w:rPr>
        <w:t>Bài 19 – Mallari (Philippines, 2025)</w:t>
      </w:r>
    </w:p>
    <w:p>
      <w:r>
        <w:rPr>
          <w:rFonts w:ascii="Times New Roman" w:hAnsi="Times New Roman"/>
          <w:sz w:val="24"/>
        </w:rPr>
        <w:t>Hạn chế: chi tiết phương pháp và cỡ mẫu chưa rõ từ bản tóm tắt. Tạp chí Psychology in the Schools có IF trung bình. Ưu điểm: dữ liệu về khoảng cách dịch vụ (33% có vấn đề nhưng chỉ 2% dùng dịch vụ) rất quan trọng cho chính sách ASEAN.</w:t>
      </w:r>
    </w:p>
    <w:p>
      <w:r>
        <w:rPr>
          <w:rFonts w:ascii="Times New Roman" w:hAnsi="Times New Roman"/>
          <w:b/>
          <w:sz w:val="24"/>
        </w:rPr>
        <w:t>Bài 20 – Whole-school meta-analysis (2025)</w:t>
      </w:r>
    </w:p>
    <w:p>
      <w:r>
        <w:rPr>
          <w:rFonts w:ascii="Times New Roman" w:hAnsi="Times New Roman"/>
          <w:sz w:val="24"/>
        </w:rPr>
        <w:t>Ưu điểm: meta-analysis cập nhật, 28 RCTs, so sánh targeted vs universal. Hạn chế: phần lớn nghiên cứu từ phương Tây (Mỹ, Úc, Anh), chưa rõ áp dụng được cho bối cảnh ASEAN. Cần RCT whole-school tại Việt Nam để xác nhận.</w:t>
      </w:r>
    </w:p>
    <w:p>
      <w:r>
        <w:rPr>
          <w:rFonts w:ascii="Times New Roman" w:hAnsi="Times New Roman"/>
          <w:b/>
          <w:sz w:val="24"/>
        </w:rPr>
        <w:t>Bài 21 – Anderson narrative review (2025)</w:t>
      </w:r>
    </w:p>
    <w:p>
      <w:r>
        <w:rPr>
          <w:rFonts w:ascii="Times New Roman" w:hAnsi="Times New Roman"/>
          <w:sz w:val="24"/>
        </w:rPr>
        <w:t>Ưu điểm: tổng hợp 61 bài, cho bức tranh toàn cảnh về gia tăng lo âu VTN toàn cầu. Hạn chế: tổng quan tường thuật (không phải hệ thống), không có phân tích tổng hợp định lượng. Dữ liệu chủ yếu từ phương Tây. Tuy nhiên, phát hiện "48/52 NC xác nhận áp lực học tập→SKTT kém" rất mạnh.</w:t>
      </w:r>
    </w:p>
    <w:p/>
    <w:p>
      <w:r>
        <w:rPr>
          <w:rFonts w:ascii="Times New Roman" w:hAnsi="Times New Roman"/>
          <w:i/>
          <w:sz w:val="22"/>
        </w:rPr>
        <w:t>Báo cáo được tổng hợp ngày 27/03/2026 từ các nguồn: PubMed, PMC, Frontiers, PLOS ONE, Elsevier, Springer, Lancet, Wiley, UNICEF, tạp chí Y học Việt Nam.</w:t>
      </w:r>
    </w:p>
    <w:p>
      <w:r>
        <w:rPr>
          <w:rFonts w:ascii="Times New Roman" w:hAnsi="Times New Roman"/>
          <w:i/>
          <w:sz w:val="22"/>
        </w:rPr>
        <w:t>Tổng cộng: 21 bài (10 Việt Nam + 5 Đông Nam Á + 6 thế giới). Tất cả tỷ lệ là sàng lọc trừ Bài 14 (chẩn đoán ICD-10).</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