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HỆ SỐ McDONALD'S OMEGA (ω) LÀ GÌ?</w:t>
      </w:r>
    </w:p>
    <w:p>
      <w:pPr>
        <w:jc w:val="center"/>
      </w:pPr>
      <w:r>
        <w:rPr>
          <w:rFonts w:ascii="Times New Roman" w:hAnsi="Times New Roman"/>
          <w:i/>
          <w:color w:val="555555"/>
          <w:sz w:val="22"/>
        </w:rPr>
        <w:t>Giải thích nhanh cho thầy — dành cho người làm lâm sàng/nghiên cứu tâm lý</w:t>
      </w:r>
    </w:p>
    <w:p>
      <w:r>
        <w:rPr>
          <w:rFonts w:ascii="Times New Roman" w:hAnsi="Times New Roman"/>
          <w:b w:val="0"/>
          <w:i/>
          <w:color w:val="555555"/>
          <w:sz w:val="20"/>
        </w:rPr>
        <w:t>Trợ lý nghiên cứu — 25/04/2026 — soạn từ truy vấn RAG (lo_au_full) + tâm trắc học chuẩn.</w:t>
      </w:r>
    </w:p>
    <w:p>
      <w:r>
        <w:rPr>
          <w:rFonts w:ascii="Times New Roman" w:hAnsi="Times New Roman"/>
          <w:b/>
          <w:color w:val="0070C0"/>
          <w:sz w:val="26"/>
        </w:rPr>
        <w:t>1. Trả lời ngắn (1 đoạn)</w:t>
      </w:r>
    </w:p>
    <w:p>
      <w:r>
        <w:rPr>
          <w:rFonts w:ascii="Times New Roman" w:hAnsi="Times New Roman"/>
          <w:b w:val="0"/>
          <w:i w:val="0"/>
          <w:sz w:val="26"/>
        </w:rPr>
        <w:t>McDonald's omega (ký hiệu ω) là một hệ số đánh giá độ tin cậy nội tại (internal consistency reliability) của một thang đo tâm lý — giống như Cronbach's alpha (α), nhưng dựa trên mô hình nhân tố (factor model) thay vì giả định tau-tương đương. Nói nôm na: ω cho biết các câu hỏi (item) trong thang đo có cùng đo một cấu trúc tiềm ẩn (ví dụ "lo âu") đến mức nào, sau khi mô hình hoá sự đóng góp khác nhau của từng item bằng hệ số tải nhân tố (factor loading) λᵢ.</w:t>
      </w:r>
    </w:p>
    <w:p>
      <w:r>
        <w:rPr>
          <w:rFonts w:ascii="Times New Roman" w:hAnsi="Times New Roman"/>
          <w:b/>
          <w:color w:val="0070C0"/>
          <w:sz w:val="26"/>
        </w:rPr>
        <w:t>2. Công thức cơ bản (omega total — McDonald, 1999)</w:t>
      </w:r>
    </w:p>
    <w:p>
      <w:r>
        <w:rPr>
          <w:rFonts w:ascii="Times New Roman" w:hAnsi="Times New Roman"/>
          <w:b/>
          <w:i w:val="0"/>
          <w:sz w:val="26"/>
        </w:rPr>
        <w:t>ω = (Σλᵢ)² / [ (Σλᵢ)² + Σ(1 − λᵢ²) ]</w:t>
      </w:r>
    </w:p>
    <w:p>
      <w:r>
        <w:rPr>
          <w:rFonts w:ascii="Times New Roman" w:hAnsi="Times New Roman"/>
          <w:b w:val="0"/>
          <w:i w:val="0"/>
          <w:sz w:val="26"/>
        </w:rPr>
        <w:t>Trong đó λᵢ là factor loading chuẩn hoá của item thứ i lên nhân tố chung. Tử số là phương sai "thật" do nhân tố chung giải thích; mẫu số là tổng phương sai (thật + sai số đặc thù của từng item). Một số phần mềm (R: psych::omega, JASP, jamovi) phân biệt thêm omega hierarchical (ωₕ) — chỉ tính phần do nhân tố chung sau khi loại các nhân tố nhóm.</w:t>
      </w:r>
    </w:p>
    <w:p>
      <w:r>
        <w:rPr>
          <w:rFonts w:ascii="Times New Roman" w:hAnsi="Times New Roman"/>
          <w:b/>
          <w:color w:val="0070C0"/>
          <w:sz w:val="26"/>
        </w:rPr>
        <w:t>3. So sánh nhanh ω vs α</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984" w:type="dxa"/>
            <w:shd w:fill="D9E2F3" w:val="clear"/>
          </w:tcPr>
          <w:p>
            <w:pPr>
              <w:jc w:val="center"/>
            </w:pPr>
            <w:r>
              <w:rPr>
                <w:rFonts w:ascii="Times New Roman" w:hAnsi="Times New Roman"/>
                <w:b/>
                <w:sz w:val="20"/>
              </w:rPr>
              <w:t>Tiêu chí</w:t>
            </w:r>
          </w:p>
        </w:tc>
        <w:tc>
          <w:tcPr>
            <w:tcW w:type="dxa" w:w="3135"/>
            <w:tcW w:w="3118" w:type="dxa"/>
            <w:shd w:fill="D9E2F3" w:val="clear"/>
          </w:tcPr>
          <w:p>
            <w:pPr>
              <w:jc w:val="center"/>
            </w:pPr>
            <w:r>
              <w:rPr>
                <w:rFonts w:ascii="Times New Roman" w:hAnsi="Times New Roman"/>
                <w:b/>
                <w:sz w:val="20"/>
              </w:rPr>
              <w:t>Cronbach's alpha (α)</w:t>
            </w:r>
          </w:p>
        </w:tc>
        <w:tc>
          <w:tcPr>
            <w:tcW w:type="dxa" w:w="3135"/>
            <w:tcW w:w="3118" w:type="dxa"/>
            <w:shd w:fill="D9E2F3" w:val="clear"/>
          </w:tcPr>
          <w:p>
            <w:pPr>
              <w:jc w:val="center"/>
            </w:pPr>
            <w:r>
              <w:rPr>
                <w:rFonts w:ascii="Times New Roman" w:hAnsi="Times New Roman"/>
                <w:b/>
                <w:sz w:val="20"/>
              </w:rPr>
              <w:t>McDonald's omega (ω)</w:t>
            </w:r>
          </w:p>
        </w:tc>
      </w:tr>
      <w:tr>
        <w:tc>
          <w:tcPr>
            <w:tcW w:type="dxa" w:w="3135"/>
            <w:tcW w:w="1984" w:type="dxa"/>
          </w:tcPr>
          <w:p>
            <w:r>
              <w:rPr>
                <w:rFonts w:ascii="Times New Roman" w:hAnsi="Times New Roman"/>
                <w:sz w:val="20"/>
              </w:rPr>
              <w:t>Cơ sở lý thuyết</w:t>
            </w:r>
          </w:p>
        </w:tc>
        <w:tc>
          <w:tcPr>
            <w:tcW w:type="dxa" w:w="3135"/>
            <w:tcW w:w="3118" w:type="dxa"/>
          </w:tcPr>
          <w:p>
            <w:r>
              <w:rPr>
                <w:rFonts w:ascii="Times New Roman" w:hAnsi="Times New Roman"/>
                <w:sz w:val="20"/>
              </w:rPr>
              <w:t>Lý thuyết trắc nghiệm cổ điển</w:t>
            </w:r>
          </w:p>
        </w:tc>
        <w:tc>
          <w:tcPr>
            <w:tcW w:type="dxa" w:w="3135"/>
            <w:tcW w:w="3118" w:type="dxa"/>
          </w:tcPr>
          <w:p>
            <w:r>
              <w:rPr>
                <w:rFonts w:ascii="Times New Roman" w:hAnsi="Times New Roman"/>
                <w:sz w:val="20"/>
              </w:rPr>
              <w:t>Mô hình nhân tố (CFA / EFA)</w:t>
            </w:r>
          </w:p>
        </w:tc>
      </w:tr>
      <w:tr>
        <w:tc>
          <w:tcPr>
            <w:tcW w:type="dxa" w:w="3135"/>
            <w:tcW w:w="1984" w:type="dxa"/>
          </w:tcPr>
          <w:p>
            <w:r>
              <w:rPr>
                <w:rFonts w:ascii="Times New Roman" w:hAnsi="Times New Roman"/>
                <w:sz w:val="20"/>
              </w:rPr>
              <w:t>Giả định mấu chốt</w:t>
            </w:r>
          </w:p>
        </w:tc>
        <w:tc>
          <w:tcPr>
            <w:tcW w:type="dxa" w:w="3135"/>
            <w:tcW w:w="3118" w:type="dxa"/>
          </w:tcPr>
          <w:p>
            <w:r>
              <w:rPr>
                <w:rFonts w:ascii="Times New Roman" w:hAnsi="Times New Roman"/>
                <w:sz w:val="20"/>
              </w:rPr>
              <w:t>Tau-tương đương: mọi item đóng góp như nhau (λᵢ bằng nhau)</w:t>
            </w:r>
          </w:p>
        </w:tc>
        <w:tc>
          <w:tcPr>
            <w:tcW w:type="dxa" w:w="3135"/>
            <w:tcW w:w="3118" w:type="dxa"/>
          </w:tcPr>
          <w:p>
            <w:r>
              <w:rPr>
                <w:rFonts w:ascii="Times New Roman" w:hAnsi="Times New Roman"/>
                <w:sz w:val="20"/>
              </w:rPr>
              <w:t>Cho phép factor loading khác nhau giữa các item — sát thực tế hơn</w:t>
            </w:r>
          </w:p>
        </w:tc>
      </w:tr>
      <w:tr>
        <w:tc>
          <w:tcPr>
            <w:tcW w:type="dxa" w:w="3135"/>
            <w:tcW w:w="1984" w:type="dxa"/>
          </w:tcPr>
          <w:p>
            <w:r>
              <w:rPr>
                <w:rFonts w:ascii="Times New Roman" w:hAnsi="Times New Roman"/>
                <w:sz w:val="20"/>
              </w:rPr>
              <w:t>Khi giả định bị vi phạm</w:t>
            </w:r>
          </w:p>
        </w:tc>
        <w:tc>
          <w:tcPr>
            <w:tcW w:type="dxa" w:w="3135"/>
            <w:tcW w:w="3118" w:type="dxa"/>
          </w:tcPr>
          <w:p>
            <w:r>
              <w:rPr>
                <w:rFonts w:ascii="Times New Roman" w:hAnsi="Times New Roman"/>
                <w:sz w:val="20"/>
              </w:rPr>
              <w:t>α thường ƯỚC LƯỢNG THẤP độ tin cậy thực</w:t>
            </w:r>
          </w:p>
        </w:tc>
        <w:tc>
          <w:tcPr>
            <w:tcW w:type="dxa" w:w="3135"/>
            <w:tcW w:w="3118" w:type="dxa"/>
          </w:tcPr>
          <w:p>
            <w:r>
              <w:rPr>
                <w:rFonts w:ascii="Times New Roman" w:hAnsi="Times New Roman"/>
                <w:sz w:val="20"/>
              </w:rPr>
              <w:t>ω vẫn cho ước lượng chính xác</w:t>
            </w:r>
          </w:p>
        </w:tc>
      </w:tr>
      <w:tr>
        <w:tc>
          <w:tcPr>
            <w:tcW w:type="dxa" w:w="3135"/>
            <w:tcW w:w="1984" w:type="dxa"/>
          </w:tcPr>
          <w:p>
            <w:r>
              <w:rPr>
                <w:rFonts w:ascii="Times New Roman" w:hAnsi="Times New Roman"/>
                <w:sz w:val="20"/>
              </w:rPr>
              <w:t>Cần chạy CFA trước?</w:t>
            </w:r>
          </w:p>
        </w:tc>
        <w:tc>
          <w:tcPr>
            <w:tcW w:type="dxa" w:w="3135"/>
            <w:tcW w:w="3118" w:type="dxa"/>
          </w:tcPr>
          <w:p>
            <w:r>
              <w:rPr>
                <w:rFonts w:ascii="Times New Roman" w:hAnsi="Times New Roman"/>
                <w:sz w:val="20"/>
              </w:rPr>
              <w:t>Không</w:t>
            </w:r>
          </w:p>
        </w:tc>
        <w:tc>
          <w:tcPr>
            <w:tcW w:type="dxa" w:w="3135"/>
            <w:tcW w:w="3118" w:type="dxa"/>
          </w:tcPr>
          <w:p>
            <w:r>
              <w:rPr>
                <w:rFonts w:ascii="Times New Roman" w:hAnsi="Times New Roman"/>
                <w:sz w:val="20"/>
              </w:rPr>
              <w:t>Có (cần có hệ số tải nhân tố)</w:t>
            </w:r>
          </w:p>
        </w:tc>
      </w:tr>
      <w:tr>
        <w:tc>
          <w:tcPr>
            <w:tcW w:type="dxa" w:w="3135"/>
            <w:tcW w:w="1984" w:type="dxa"/>
          </w:tcPr>
          <w:p>
            <w:r>
              <w:rPr>
                <w:rFonts w:ascii="Times New Roman" w:hAnsi="Times New Roman"/>
                <w:sz w:val="20"/>
              </w:rPr>
              <w:t>Khuyến cáo hiện nay</w:t>
            </w:r>
          </w:p>
        </w:tc>
        <w:tc>
          <w:tcPr>
            <w:tcW w:type="dxa" w:w="3135"/>
            <w:tcW w:w="3118" w:type="dxa"/>
          </w:tcPr>
          <w:p>
            <w:r>
              <w:rPr>
                <w:rFonts w:ascii="Times New Roman" w:hAnsi="Times New Roman"/>
                <w:sz w:val="20"/>
              </w:rPr>
              <w:t>Vẫn dùng nhưng hạn chế</w:t>
            </w:r>
          </w:p>
        </w:tc>
        <w:tc>
          <w:tcPr>
            <w:tcW w:type="dxa" w:w="3135"/>
            <w:tcW w:w="3118" w:type="dxa"/>
          </w:tcPr>
          <w:p>
            <w:r>
              <w:rPr>
                <w:rFonts w:ascii="Times New Roman" w:hAnsi="Times New Roman"/>
                <w:sz w:val="20"/>
              </w:rPr>
              <w:t>Nhiều tạp chí (JCCAP, Psychol Methods…) đã ưu tiên ω</w:t>
            </w:r>
          </w:p>
        </w:tc>
      </w:tr>
    </w:tbl>
    <w:p>
      <w:r>
        <w:rPr>
          <w:rFonts w:ascii="Times New Roman" w:hAnsi="Times New Roman"/>
          <w:b w:val="0"/>
          <w:i/>
          <w:color w:val="555555"/>
          <w:sz w:val="20"/>
        </w:rPr>
        <w:t>(Tham khảo: McDonald 1999; Dunn, Baguley &amp; Brunsden 2014; Hayes &amp; Coutts 2020 — « Use Omega Rather than Cronbach's Alpha »).</w:t>
      </w:r>
    </w:p>
    <w:p>
      <w:r>
        <w:rPr>
          <w:rFonts w:ascii="Times New Roman" w:hAnsi="Times New Roman"/>
          <w:b/>
          <w:color w:val="0070C0"/>
          <w:sz w:val="26"/>
        </w:rPr>
        <w:t>4. Ngưỡng diễn giải (giống α)</w:t>
      </w:r>
    </w:p>
    <w:tbl>
      <w:tblPr>
        <w:tblStyle w:val="TableGrid"/>
        <w:tblW w:type="auto" w:w="0"/>
        <w:jc w:val="center"/>
        <w:tblLook w:firstColumn="1" w:firstRow="1" w:lastColumn="0" w:lastRow="0" w:noHBand="0" w:noVBand="1" w:val="04A0"/>
      </w:tblPr>
      <w:tblGrid>
        <w:gridCol w:w="4702"/>
        <w:gridCol w:w="4702"/>
      </w:tblGrid>
      <w:tr>
        <w:tc>
          <w:tcPr>
            <w:tcW w:type="dxa" w:w="4702"/>
            <w:tcW w:w="2551" w:type="dxa"/>
            <w:shd w:fill="D9E2F3" w:val="clear"/>
          </w:tcPr>
          <w:p>
            <w:pPr>
              <w:jc w:val="center"/>
            </w:pPr>
            <w:r>
              <w:rPr>
                <w:rFonts w:ascii="Times New Roman" w:hAnsi="Times New Roman"/>
                <w:b/>
                <w:sz w:val="20"/>
              </w:rPr>
              <w:t>Khoảng giá trị ω</w:t>
            </w:r>
          </w:p>
        </w:tc>
        <w:tc>
          <w:tcPr>
            <w:tcW w:type="dxa" w:w="4702"/>
            <w:tcW w:w="5670" w:type="dxa"/>
            <w:shd w:fill="D9E2F3" w:val="clear"/>
          </w:tcPr>
          <w:p>
            <w:pPr>
              <w:jc w:val="center"/>
            </w:pPr>
            <w:r>
              <w:rPr>
                <w:rFonts w:ascii="Times New Roman" w:hAnsi="Times New Roman"/>
                <w:b/>
                <w:sz w:val="20"/>
              </w:rPr>
              <w:t>Diễn giải</w:t>
            </w:r>
          </w:p>
        </w:tc>
      </w:tr>
      <w:tr>
        <w:tc>
          <w:tcPr>
            <w:tcW w:type="dxa" w:w="4702"/>
            <w:tcW w:w="2551" w:type="dxa"/>
          </w:tcPr>
          <w:p>
            <w:r>
              <w:rPr>
                <w:rFonts w:ascii="Times New Roman" w:hAnsi="Times New Roman"/>
                <w:sz w:val="20"/>
              </w:rPr>
              <w:t>ω ≥ 0,90</w:t>
            </w:r>
          </w:p>
        </w:tc>
        <w:tc>
          <w:tcPr>
            <w:tcW w:type="dxa" w:w="4702"/>
            <w:tcW w:w="5670" w:type="dxa"/>
          </w:tcPr>
          <w:p>
            <w:r>
              <w:rPr>
                <w:rFonts w:ascii="Times New Roman" w:hAnsi="Times New Roman"/>
                <w:sz w:val="20"/>
              </w:rPr>
              <w:t>Xuất sắc — nhưng cảnh giác item trùng lặp nội dung (redundancy)</w:t>
            </w:r>
          </w:p>
        </w:tc>
      </w:tr>
      <w:tr>
        <w:tc>
          <w:tcPr>
            <w:tcW w:type="dxa" w:w="4702"/>
            <w:tcW w:w="2551" w:type="dxa"/>
          </w:tcPr>
          <w:p>
            <w:r>
              <w:rPr>
                <w:rFonts w:ascii="Times New Roman" w:hAnsi="Times New Roman"/>
                <w:sz w:val="20"/>
              </w:rPr>
              <w:t>0,80 ≤ ω &lt; 0,90</w:t>
            </w:r>
          </w:p>
        </w:tc>
        <w:tc>
          <w:tcPr>
            <w:tcW w:type="dxa" w:w="4702"/>
            <w:tcW w:w="5670" w:type="dxa"/>
          </w:tcPr>
          <w:p>
            <w:r>
              <w:rPr>
                <w:rFonts w:ascii="Times New Roman" w:hAnsi="Times New Roman"/>
                <w:sz w:val="20"/>
              </w:rPr>
              <w:t>Tốt — phù hợp nghiên cứu và sàng lọc lâm sàng</w:t>
            </w:r>
          </w:p>
        </w:tc>
      </w:tr>
      <w:tr>
        <w:tc>
          <w:tcPr>
            <w:tcW w:type="dxa" w:w="4702"/>
            <w:tcW w:w="2551" w:type="dxa"/>
          </w:tcPr>
          <w:p>
            <w:r>
              <w:rPr>
                <w:rFonts w:ascii="Times New Roman" w:hAnsi="Times New Roman"/>
                <w:sz w:val="20"/>
              </w:rPr>
              <w:t>0,70 ≤ ω &lt; 0,80</w:t>
            </w:r>
          </w:p>
        </w:tc>
        <w:tc>
          <w:tcPr>
            <w:tcW w:type="dxa" w:w="4702"/>
            <w:tcW w:w="5670" w:type="dxa"/>
          </w:tcPr>
          <w:p>
            <w:r>
              <w:rPr>
                <w:rFonts w:ascii="Times New Roman" w:hAnsi="Times New Roman"/>
                <w:sz w:val="20"/>
              </w:rPr>
              <w:t>Chấp nhận được — đủ dùng cho nghiên cứu</w:t>
            </w:r>
          </w:p>
        </w:tc>
      </w:tr>
      <w:tr>
        <w:tc>
          <w:tcPr>
            <w:tcW w:type="dxa" w:w="4702"/>
            <w:tcW w:w="2551" w:type="dxa"/>
          </w:tcPr>
          <w:p>
            <w:r>
              <w:rPr>
                <w:rFonts w:ascii="Times New Roman" w:hAnsi="Times New Roman"/>
                <w:sz w:val="20"/>
              </w:rPr>
              <w:t>0,60 ≤ ω &lt; 0,70</w:t>
            </w:r>
          </w:p>
        </w:tc>
        <w:tc>
          <w:tcPr>
            <w:tcW w:type="dxa" w:w="4702"/>
            <w:tcW w:w="5670" w:type="dxa"/>
          </w:tcPr>
          <w:p>
            <w:r>
              <w:rPr>
                <w:rFonts w:ascii="Times New Roman" w:hAnsi="Times New Roman"/>
                <w:sz w:val="20"/>
              </w:rPr>
              <w:t>Nghi ngờ — chỉ dùng thăm dò</w:t>
            </w:r>
          </w:p>
        </w:tc>
      </w:tr>
      <w:tr>
        <w:tc>
          <w:tcPr>
            <w:tcW w:type="dxa" w:w="4702"/>
            <w:tcW w:w="2551" w:type="dxa"/>
          </w:tcPr>
          <w:p>
            <w:r>
              <w:rPr>
                <w:rFonts w:ascii="Times New Roman" w:hAnsi="Times New Roman"/>
                <w:sz w:val="20"/>
              </w:rPr>
              <w:t>ω &lt; 0,60</w:t>
            </w:r>
          </w:p>
        </w:tc>
        <w:tc>
          <w:tcPr>
            <w:tcW w:type="dxa" w:w="4702"/>
            <w:tcW w:w="5670" w:type="dxa"/>
          </w:tcPr>
          <w:p>
            <w:r>
              <w:rPr>
                <w:rFonts w:ascii="Times New Roman" w:hAnsi="Times New Roman"/>
                <w:sz w:val="20"/>
              </w:rPr>
              <w:t>Không chấp nhận — cần xem lại cấu trúc thang đo</w:t>
            </w:r>
          </w:p>
        </w:tc>
      </w:tr>
    </w:tbl>
    <w:p>
      <w:r>
        <w:rPr>
          <w:rFonts w:ascii="Times New Roman" w:hAnsi="Times New Roman"/>
          <w:b/>
          <w:color w:val="0070C0"/>
          <w:sz w:val="26"/>
        </w:rPr>
        <w:t>5. Khi nào nên ưu tiên ω hơn α?</w:t>
      </w:r>
    </w:p>
    <w:p>
      <w:r>
        <w:rPr>
          <w:rFonts w:ascii="Times New Roman" w:hAnsi="Times New Roman"/>
          <w:b w:val="0"/>
          <w:i w:val="0"/>
          <w:sz w:val="26"/>
        </w:rPr>
        <w:t>• Hệ số tải nhân tố giữa các item KHÔNG đồng đều (rất phổ biến trong DASS-21, GAD-7, PHQ-9 khi áp dụng trên mẫu mới hoặc qua dịch ngôn ngữ).</w:t>
      </w:r>
    </w:p>
    <w:p>
      <w:r>
        <w:rPr>
          <w:rFonts w:ascii="Times New Roman" w:hAnsi="Times New Roman"/>
          <w:b w:val="0"/>
          <w:i w:val="0"/>
          <w:sz w:val="26"/>
        </w:rPr>
        <w:t>• Thang đo có cấu trúc đa chiều (multidimensional) — ví dụ DASS-21 có 3 thang con Trầm cảm/Lo âu/Stress; nên báo ω cho từng thang con.</w:t>
      </w:r>
    </w:p>
    <w:p>
      <w:r>
        <w:rPr>
          <w:rFonts w:ascii="Times New Roman" w:hAnsi="Times New Roman"/>
          <w:b w:val="0"/>
          <w:i w:val="0"/>
          <w:sz w:val="26"/>
        </w:rPr>
        <w:t>• Cỡ mẫu nhỏ hoặc phương sai item chênh lệch lớn.</w:t>
      </w:r>
    </w:p>
    <w:p>
      <w:r>
        <w:rPr>
          <w:rFonts w:ascii="Times New Roman" w:hAnsi="Times New Roman"/>
          <w:b w:val="0"/>
          <w:i w:val="0"/>
          <w:sz w:val="26"/>
        </w:rPr>
        <w:t>• Khi cần báo cáo độ tin cậy của một thang đo đã có CFA xác nhận.</w:t>
      </w:r>
    </w:p>
    <w:p>
      <w:r>
        <w:rPr>
          <w:rFonts w:ascii="Times New Roman" w:hAnsi="Times New Roman"/>
          <w:b/>
          <w:color w:val="0070C0"/>
          <w:sz w:val="26"/>
        </w:rPr>
        <w:t>6. Liên hệ với corpus 35+ bài lo âu trong dự án</w:t>
      </w:r>
    </w:p>
    <w:p>
      <w:r>
        <w:rPr>
          <w:rFonts w:ascii="Times New Roman" w:hAnsi="Times New Roman"/>
          <w:b w:val="0"/>
          <w:i w:val="0"/>
          <w:sz w:val="26"/>
        </w:rPr>
        <w:t xml:space="preserve">Truy vấn RAG (collection </w:t>
      </w:r>
      <w:r>
        <w:rPr>
          <w:rFonts w:ascii="Times New Roman" w:hAnsi="Times New Roman"/>
          <w:b w:val="0"/>
          <w:i/>
          <w:sz w:val="26"/>
        </w:rPr>
        <w:t>lo_au_full</w:t>
      </w:r>
      <w:r>
        <w:rPr>
          <w:rFonts w:ascii="Times New Roman" w:hAnsi="Times New Roman"/>
          <w:b w:val="0"/>
          <w:i w:val="0"/>
          <w:sz w:val="26"/>
        </w:rPr>
        <w:t xml:space="preserve">, 47 chunks) cho 4 biến thể câu hỏi về omega đều </w:t>
      </w:r>
      <w:r>
        <w:rPr>
          <w:rFonts w:ascii="Times New Roman" w:hAnsi="Times New Roman"/>
          <w:b/>
          <w:i w:val="0"/>
          <w:color w:val="C00000"/>
          <w:sz w:val="26"/>
        </w:rPr>
        <w:t>KHÔNG</w:t>
      </w:r>
      <w:r>
        <w:rPr>
          <w:rFonts w:ascii="Times New Roman" w:hAnsi="Times New Roman"/>
          <w:b w:val="0"/>
          <w:i w:val="0"/>
          <w:sz w:val="26"/>
        </w:rPr>
        <w:t xml:space="preserve"> trả về chunk định nghĩa trực tiếp — vì các bài trong corpus tập trung vào tỉ lệ lo âu, yếu tố nguy cơ, can thiệp; phần tâm trắc học chỉ báo cáo giá trị α hoặc ω cho thang đo đã dùng (ví dụ </w:t>
      </w:r>
      <w:r>
        <w:rPr>
          <w:rFonts w:ascii="Times New Roman" w:hAnsi="Times New Roman"/>
          <w:b w:val="0"/>
          <w:i/>
          <w:sz w:val="26"/>
        </w:rPr>
        <w:t>Hoa 2024 báo Cronbach α = 0,916 cho GAD-7 tại Hà Nội</w:t>
      </w:r>
      <w:r>
        <w:rPr>
          <w:rFonts w:ascii="Times New Roman" w:hAnsi="Times New Roman"/>
          <w:b w:val="0"/>
          <w:i w:val="0"/>
          <w:sz w:val="26"/>
        </w:rPr>
        <w:t>). Vì vậy phần định nghĩa ở trên dựa trên tài liệu tâm trắc học chuẩn (McDonald 1999; Hayes &amp; Coutts 2020), RAG đóng vai trò bổ trợ.</w:t>
      </w:r>
    </w:p>
    <w:p>
      <w:r>
        <w:rPr>
          <w:rFonts w:ascii="Times New Roman" w:hAnsi="Times New Roman"/>
          <w:b/>
          <w:color w:val="0070C0"/>
          <w:sz w:val="26"/>
        </w:rPr>
        <w:t>7. Tóm gọn để nói nhanh với sinh viên / đồng nghiệp</w:t>
      </w:r>
    </w:p>
    <w:p>
      <w:r>
        <w:rPr>
          <w:rFonts w:ascii="Times New Roman" w:hAnsi="Times New Roman"/>
          <w:b w:val="0"/>
          <w:i w:val="0"/>
          <w:sz w:val="26"/>
        </w:rPr>
        <w:t xml:space="preserve">"Omega của McDonald là phiên bản </w:t>
      </w:r>
      <w:r>
        <w:rPr>
          <w:rFonts w:ascii="Times New Roman" w:hAnsi="Times New Roman"/>
          <w:b/>
          <w:i w:val="0"/>
          <w:sz w:val="26"/>
        </w:rPr>
        <w:t>hiện đại</w:t>
      </w:r>
      <w:r>
        <w:rPr>
          <w:rFonts w:ascii="Times New Roman" w:hAnsi="Times New Roman"/>
          <w:b w:val="0"/>
          <w:i w:val="0"/>
          <w:sz w:val="26"/>
        </w:rPr>
        <w:t xml:space="preserve"> của Cronbach alpha. Cả hai cùng đo </w:t>
      </w:r>
      <w:r>
        <w:rPr>
          <w:rFonts w:ascii="Times New Roman" w:hAnsi="Times New Roman"/>
          <w:b/>
          <w:i w:val="0"/>
          <w:sz w:val="26"/>
        </w:rPr>
        <w:t>độ tin cậy nội tại</w:t>
      </w:r>
      <w:r>
        <w:rPr>
          <w:rFonts w:ascii="Times New Roman" w:hAnsi="Times New Roman"/>
          <w:b w:val="0"/>
          <w:i w:val="0"/>
          <w:sz w:val="26"/>
        </w:rPr>
        <w:t xml:space="preserve"> của một thang đo, ngưỡng đọc giống nhau (≥0,70 ổn, ≥0,80 tốt). Khác biệt là omega </w:t>
      </w:r>
      <w:r>
        <w:rPr>
          <w:rFonts w:ascii="Times New Roman" w:hAnsi="Times New Roman"/>
          <w:b/>
          <w:i w:val="0"/>
          <w:sz w:val="26"/>
        </w:rPr>
        <w:t>không bắt buộc các câu hỏi đóng góp như nhau</w:t>
      </w:r>
      <w:r>
        <w:rPr>
          <w:rFonts w:ascii="Times New Roman" w:hAnsi="Times New Roman"/>
          <w:b w:val="0"/>
          <w:i w:val="0"/>
          <w:sz w:val="26"/>
        </w:rPr>
        <w:t xml:space="preserve">, nên thường </w:t>
      </w:r>
      <w:r>
        <w:rPr>
          <w:rFonts w:ascii="Times New Roman" w:hAnsi="Times New Roman"/>
          <w:b/>
          <w:i w:val="0"/>
          <w:sz w:val="26"/>
        </w:rPr>
        <w:t>chính xác hơn alpha</w:t>
      </w:r>
      <w:r>
        <w:rPr>
          <w:rFonts w:ascii="Times New Roman" w:hAnsi="Times New Roman"/>
          <w:b w:val="0"/>
          <w:i w:val="0"/>
          <w:sz w:val="26"/>
        </w:rPr>
        <w:t xml:space="preserve"> khi thang đo có item nặng-nhẹ khác nhau — đó là lý do nhiều tạp chí đã yêu cầu báo cáo omega thay vì alpha."</w:t>
      </w:r>
    </w:p>
    <w:p>
      <w:r>
        <w:rPr>
          <w:rFonts w:ascii="Times New Roman" w:hAnsi="Times New Roman"/>
          <w:b/>
          <w:color w:val="0070C0"/>
          <w:sz w:val="26"/>
        </w:rPr>
        <w:t>Tham khảo</w:t>
      </w:r>
    </w:p>
    <w:p>
      <w:r>
        <w:rPr>
          <w:rFonts w:ascii="Times New Roman" w:hAnsi="Times New Roman"/>
          <w:b w:val="0"/>
          <w:i w:val="0"/>
          <w:sz w:val="22"/>
        </w:rPr>
        <w:t>• McDonald, R. P. (1999). Test Theory: A Unified Treatment. Lawrence Erlbaum.</w:t>
      </w:r>
    </w:p>
    <w:p>
      <w:r>
        <w:rPr>
          <w:rFonts w:ascii="Times New Roman" w:hAnsi="Times New Roman"/>
          <w:b w:val="0"/>
          <w:i w:val="0"/>
          <w:sz w:val="22"/>
        </w:rPr>
        <w:t>• Dunn, T. J., Baguley, T., &amp; Brunsden, V. (2014). From alpha to omega: A practical solution to the pervasive problem of internal consistency estimation. British Journal of Psychology, 105(3), 399–412.</w:t>
      </w:r>
    </w:p>
    <w:p>
      <w:r>
        <w:rPr>
          <w:rFonts w:ascii="Times New Roman" w:hAnsi="Times New Roman"/>
          <w:b w:val="0"/>
          <w:i w:val="0"/>
          <w:sz w:val="22"/>
        </w:rPr>
        <w:t>• Hayes, A. F., &amp; Coutts, J. J. (2020). Use omega rather than Cronbach's alpha for estimating reliability. Communication Methods and Measures, 14(1), 1–24.</w:t>
      </w:r>
    </w:p>
    <w:p>
      <w:r>
        <w:rPr>
          <w:rFonts w:ascii="Times New Roman" w:hAnsi="Times New Roman"/>
          <w:b w:val="0"/>
          <w:i/>
          <w:color w:val="555555"/>
          <w:sz w:val="20"/>
        </w:rPr>
        <w:t>• Truy vấn RAG: tro-ly-nghien-cuu-tam-ly/rag_db_full (collection lo_au_full, 47 chunks, embedding paraphrase-multilingual-MiniLM-L12-v2).</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