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Bình luận diễn đạt OR = 11,579 (Wen et al. 2020)</w:t>
      </w:r>
    </w:p>
    <w:p>
      <w:r>
        <w:rPr>
          <w:b/>
          <w:color w:val="1F497D"/>
          <w:sz w:val="28"/>
        </w:rPr>
        <w:t>Áp lực học tập rất cao ↔ Lo âu nặng — 'nguy cơ' hay 'odds'?</w:t>
      </w:r>
    </w:p>
    <w:p>
      <w:r>
        <w:rPr>
          <w:b/>
          <w:color w:val="1F497D"/>
          <w:sz w:val="28"/>
        </w:rPr>
        <w:t>Câu hỏi của thầy</w:t>
      </w:r>
    </w:p>
    <w:p>
      <w:r>
        <w:rPr>
          <w:b w:val="0"/>
          <w:color w:val="0070C0"/>
          <w:sz w:val="24"/>
        </w:rPr>
        <w:t>Diễn giải số liệu này: X. Wen và cs. (2020) — áp lực học tập rất cao là yếu tố nguy cơ mạnh nhất (OR = 11,579 cho lo âu nặng so với áp lực rất thấp), tức là những học sinh chịu áp lực học tập rất cao có nguy cơ bị rối loạn lo âu nặng cao gấp khoảng 11,5 lần so với học sinh chịu áp lực học tập rất thấp (OR = 11,579). Diễn đạt lại như vậy có đúng không em?</w:t>
      </w:r>
    </w:p>
    <w:p>
      <w:r>
        <w:rPr>
          <w:b/>
          <w:color w:val="1F497D"/>
          <w:sz w:val="28"/>
        </w:rPr>
        <w:t>1. Hai khái niệm khác nhau: ODDS và RISK</w:t>
      </w:r>
    </w:p>
    <w:p>
      <w:r>
        <w:rPr>
          <w:b w:val="0"/>
          <w:i w:val="0"/>
          <w:color w:val="000000"/>
          <w:sz w:val="24"/>
        </w:rPr>
        <w:t>Trước khi nói đúng/sai, cần phân biệt rõ hai khái niệm trong dịch tễ học mà người Việt thường dịch chung là "nguy cơ":</w:t>
      </w:r>
    </w:p>
    <w:p>
      <w:pPr>
        <w:pStyle w:val="ListBullet"/>
      </w:pPr>
      <w:r>
        <w:rPr>
          <w:i w:val="0"/>
          <w:color w:val="000000"/>
          <w:sz w:val="24"/>
        </w:rPr>
        <w:t>RISK (nguy cơ tuyệt đối) = số người bị bệnh / tổng số người trong nhóm. Ví dụ: 100 HS áp lực rất cao, 30 em bị lo âu nặng → risk = 30%.</w:t>
      </w:r>
    </w:p>
    <w:p>
      <w:pPr>
        <w:pStyle w:val="ListBullet"/>
      </w:pPr>
      <w:r>
        <w:rPr>
          <w:i w:val="0"/>
          <w:color w:val="000000"/>
          <w:sz w:val="24"/>
        </w:rPr>
        <w:t>ODDS (chênh) = số người bị bệnh / số người KHÔNG bị bệnh. Cùng ví dụ trên: odds = 30/70 = 0,43.</w:t>
      </w:r>
    </w:p>
    <w:p>
      <w:r>
        <w:rPr>
          <w:b w:val="0"/>
          <w:i w:val="0"/>
          <w:color w:val="000000"/>
          <w:sz w:val="24"/>
        </w:rPr>
        <w:t>Tỷ số tương ứng cũng khác nhau:</w:t>
      </w:r>
    </w:p>
    <w:p>
      <w:pPr>
        <w:pStyle w:val="ListBullet"/>
      </w:pPr>
      <w:r>
        <w:rPr>
          <w:i w:val="0"/>
          <w:color w:val="000000"/>
          <w:sz w:val="24"/>
        </w:rPr>
        <w:t>RR (Risk Ratio = tỷ số nguy cơ) = risk nhóm phơi nhiễm / risk nhóm không phơi nhiễm.</w:t>
      </w:r>
    </w:p>
    <w:p>
      <w:pPr>
        <w:pStyle w:val="ListBullet"/>
      </w:pPr>
      <w:r>
        <w:rPr>
          <w:i w:val="0"/>
          <w:color w:val="000000"/>
          <w:sz w:val="24"/>
        </w:rPr>
        <w:t>OR (Odds Ratio = tỷ số chênh) = odds nhóm phơi nhiễm / odds nhóm không phơi nhiễm.</w:t>
      </w:r>
    </w:p>
    <w:p>
      <w:r>
        <w:rPr>
          <w:b/>
          <w:i w:val="0"/>
          <w:color w:val="000000"/>
          <w:sz w:val="24"/>
        </w:rPr>
        <w:t>Quan hệ giữa OR và RR:</w:t>
      </w:r>
    </w:p>
    <w:p>
      <w:pPr>
        <w:pStyle w:val="ListBullet"/>
      </w:pPr>
      <w:r>
        <w:rPr>
          <w:i w:val="0"/>
          <w:color w:val="000000"/>
          <w:sz w:val="24"/>
        </w:rPr>
        <w:t>Khi outcome HIẾM (prevalence &lt; 10%): OR ≈ RR → có thể nói "nguy cơ gấp X lần" tương đương với "odds gấp X lần".</w:t>
      </w:r>
    </w:p>
    <w:p>
      <w:pPr>
        <w:pStyle w:val="ListBullet"/>
      </w:pPr>
      <w:r>
        <w:rPr>
          <w:i w:val="0"/>
          <w:color w:val="000000"/>
          <w:sz w:val="24"/>
        </w:rPr>
        <w:t>Khi outcome PHỔ BIẾN (prevalence &gt; 10%): OR PHÓNG ĐẠI so với RR. Outcome càng phổ biến, OR càng "lệch" cao hơn RR thật.</w:t>
      </w:r>
    </w:p>
    <w:p>
      <w:r>
        <w:rPr>
          <w:b/>
          <w:color w:val="1F497D"/>
          <w:sz w:val="28"/>
        </w:rPr>
        <w:t>2. Áp dụng vào con số OR = 11,579 của Wen 2020</w:t>
      </w:r>
    </w:p>
    <w:p>
      <w:r>
        <w:rPr>
          <w:b w:val="0"/>
          <w:i w:val="0"/>
          <w:color w:val="000000"/>
          <w:sz w:val="24"/>
        </w:rPr>
        <w:t>Lo âu nặng ở HS THCS/THPT KHÔNG phải outcome hiếm:</w:t>
      </w:r>
    </w:p>
    <w:p>
      <w:pPr>
        <w:pStyle w:val="ListBullet"/>
      </w:pPr>
      <w:r>
        <w:rPr>
          <w:i w:val="0"/>
          <w:color w:val="000000"/>
          <w:sz w:val="24"/>
        </w:rPr>
        <w:t>VNAMHS 2022 (VN002): tỷ lệ lo âu chung ở trẻ em VN ~ 18,6%; lo âu nặng (clinical) ~ 5–8%.</w:t>
      </w:r>
    </w:p>
    <w:p>
      <w:pPr>
        <w:pStyle w:val="ListBullet"/>
      </w:pPr>
      <w:r>
        <w:rPr>
          <w:i w:val="0"/>
          <w:color w:val="000000"/>
          <w:sz w:val="24"/>
        </w:rPr>
        <w:t>VN016 Nguyễn Cao Minh (2012) chuẩn hóa RCADS: ~10–15% có triệu chứng lo âu đáng chú ý.</w:t>
      </w:r>
    </w:p>
    <w:p>
      <w:pPr>
        <w:pStyle w:val="ListBullet"/>
      </w:pPr>
      <w:r>
        <w:rPr>
          <w:i w:val="0"/>
          <w:color w:val="000000"/>
          <w:sz w:val="24"/>
        </w:rPr>
        <w:t>Trung Quốc (Wen 2020 và các nghiên cứu cùng thời): lo âu nặng ở HS dao động 7–15% tùy thang đo.</w:t>
      </w:r>
    </w:p>
    <w:p>
      <w:r>
        <w:rPr>
          <w:b w:val="0"/>
          <w:i w:val="0"/>
          <w:color w:val="000000"/>
          <w:sz w:val="24"/>
        </w:rPr>
        <w:t>Vì prevalence ~ 5–15% (vùng "không hiếm"), OR = 11,579 sẽ PHÓNG ĐẠI so với RR thật. Ước tính nhanh (theo công thức Zhang &amp; Yu 1998 hoặc bảng quy đổi Davies et al. 1998): với prevalence ~ 10%, OR = 11,5 tương đương RR ~ 4–6, không phải 11,5.</w:t>
      </w:r>
    </w:p>
    <w:p>
      <w:r>
        <w:rPr>
          <w:b/>
          <w:color w:val="1F497D"/>
          <w:sz w:val="28"/>
        </w:rPr>
        <w:t>3. Vì sao diễn đạt "nguy cơ gấp 11,5 lần" là PHỔ BIẾN nhưng KHÔNG CHÍNH XÁC</w:t>
      </w:r>
    </w:p>
    <w:p>
      <w:r>
        <w:rPr>
          <w:b w:val="0"/>
          <w:i w:val="0"/>
          <w:color w:val="000000"/>
          <w:sz w:val="24"/>
        </w:rPr>
        <w:t>Trong báo chí khoa học, sách giáo trình phổ thông, các bài giảng đại học (kể cả y học), người ta thường viết "nguy cơ tăng X lần" cho cả OR lẫn RR — đây là cách nói tắt CHẤP NHẬN ĐƯỢC khi:</w:t>
      </w:r>
    </w:p>
    <w:p>
      <w:pPr>
        <w:pStyle w:val="ListBullet"/>
      </w:pPr>
      <w:r>
        <w:rPr>
          <w:i w:val="0"/>
          <w:color w:val="000000"/>
          <w:sz w:val="24"/>
        </w:rPr>
        <w:t>Người đọc là độc giả phổ thông, không cần phân biệt OR/RR chi tiết.</w:t>
      </w:r>
    </w:p>
    <w:p>
      <w:pPr>
        <w:pStyle w:val="ListBullet"/>
      </w:pPr>
      <w:r>
        <w:rPr>
          <w:i w:val="0"/>
          <w:color w:val="000000"/>
          <w:sz w:val="24"/>
        </w:rPr>
        <w:t>Outcome là biến cố hiếm (OR ≈ RR).</w:t>
      </w:r>
    </w:p>
    <w:p>
      <w:pPr>
        <w:pStyle w:val="ListBullet"/>
      </w:pPr>
      <w:r>
        <w:rPr>
          <w:i w:val="0"/>
          <w:color w:val="000000"/>
          <w:sz w:val="24"/>
        </w:rPr>
        <w:t>Có ghi chú rõ ở chỗ khác về OR và độ phóng đại.</w:t>
      </w:r>
    </w:p>
    <w:p>
      <w:r>
        <w:rPr>
          <w:b/>
          <w:i w:val="0"/>
          <w:color w:val="000000"/>
          <w:sz w:val="24"/>
        </w:rPr>
        <w:t>Tuy nhiên trong báo cáo NGHIÊN CỨU, LUẬN VĂN, ĐỀ TÀI KHOA HỌC nghiêm túc:</w:t>
      </w:r>
    </w:p>
    <w:p>
      <w:pPr>
        <w:pStyle w:val="ListBullet"/>
      </w:pPr>
      <w:r>
        <w:rPr>
          <w:i w:val="0"/>
          <w:color w:val="000000"/>
          <w:sz w:val="24"/>
        </w:rPr>
        <w:t>Phải dùng "odds" hoặc "khả năng tương đối" cho OR.</w:t>
      </w:r>
    </w:p>
    <w:p>
      <w:pPr>
        <w:pStyle w:val="ListBullet"/>
      </w:pPr>
      <w:r>
        <w:rPr>
          <w:i w:val="0"/>
          <w:color w:val="000000"/>
          <w:sz w:val="24"/>
        </w:rPr>
        <w:t>Phải dùng "nguy cơ" chỉ cho RR (relative risk) hoặc absolute risk thật.</w:t>
      </w:r>
    </w:p>
    <w:p>
      <w:pPr>
        <w:pStyle w:val="ListBullet"/>
      </w:pPr>
      <w:r>
        <w:rPr>
          <w:i w:val="0"/>
          <w:color w:val="000000"/>
          <w:sz w:val="24"/>
        </w:rPr>
        <w:t>Phải kèm KTC 95% và tỷ lệ outcome trong dân số gốc.</w:t>
      </w:r>
    </w:p>
    <w:p>
      <w:r>
        <w:rPr>
          <w:b/>
          <w:color w:val="1F497D"/>
          <w:sz w:val="28"/>
        </w:rPr>
        <w:t>4. Kiểm tra mức độ OR = 11,579</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OR (hoặc 1/OR)</w:t>
            </w:r>
          </w:p>
        </w:tc>
        <w:tc>
          <w:tcPr>
            <w:tcW w:type="dxa" w:w="3230"/>
          </w:tcPr>
          <w:p>
            <w:r>
              <w:rPr>
                <w:rFonts w:ascii="Times New Roman" w:hAnsi="Times New Roman"/>
                <w:sz w:val="22"/>
              </w:rPr>
              <w:t>Mức độ</w:t>
            </w:r>
          </w:p>
        </w:tc>
        <w:tc>
          <w:tcPr>
            <w:tcW w:type="dxa" w:w="3230"/>
          </w:tcPr>
          <w:p>
            <w:r>
              <w:rPr>
                <w:rFonts w:ascii="Times New Roman" w:hAnsi="Times New Roman"/>
                <w:sz w:val="22"/>
              </w:rPr>
              <w:t>Vị trí của OR = 11,579</w:t>
            </w:r>
          </w:p>
        </w:tc>
      </w:tr>
      <w:tr>
        <w:tc>
          <w:tcPr>
            <w:tcW w:type="dxa" w:w="3230"/>
          </w:tcPr>
          <w:p>
            <w:r>
              <w:rPr>
                <w:rFonts w:ascii="Times New Roman" w:hAnsi="Times New Roman"/>
                <w:sz w:val="22"/>
              </w:rPr>
              <w:t>1,0 – 1,5</w:t>
            </w:r>
          </w:p>
        </w:tc>
        <w:tc>
          <w:tcPr>
            <w:tcW w:type="dxa" w:w="3230"/>
          </w:tcPr>
          <w:p>
            <w:r>
              <w:rPr>
                <w:rFonts w:ascii="Times New Roman" w:hAnsi="Times New Roman"/>
                <w:sz w:val="22"/>
              </w:rPr>
              <w:t>Rất yếu</w:t>
            </w:r>
          </w:p>
        </w:tc>
        <w:tc>
          <w:tcPr>
            <w:tcW w:type="dxa" w:w="3230"/>
          </w:tcPr>
          <w:p>
            <w:r>
              <w:rPr>
                <w:rFonts w:ascii="Times New Roman" w:hAnsi="Times New Roman"/>
                <w:sz w:val="22"/>
              </w:rPr>
            </w:r>
          </w:p>
        </w:tc>
      </w:tr>
      <w:tr>
        <w:tc>
          <w:tcPr>
            <w:tcW w:type="dxa" w:w="3230"/>
          </w:tcPr>
          <w:p>
            <w:r>
              <w:rPr>
                <w:rFonts w:ascii="Times New Roman" w:hAnsi="Times New Roman"/>
                <w:sz w:val="22"/>
              </w:rPr>
              <w:t>1,5 – 2,5</w:t>
            </w:r>
          </w:p>
        </w:tc>
        <w:tc>
          <w:tcPr>
            <w:tcW w:type="dxa" w:w="3230"/>
          </w:tcPr>
          <w:p>
            <w:r>
              <w:rPr>
                <w:rFonts w:ascii="Times New Roman" w:hAnsi="Times New Roman"/>
                <w:sz w:val="22"/>
              </w:rPr>
              <w:t>Yếu</w:t>
            </w:r>
          </w:p>
        </w:tc>
        <w:tc>
          <w:tcPr>
            <w:tcW w:type="dxa" w:w="3230"/>
          </w:tcPr>
          <w:p>
            <w:r>
              <w:rPr>
                <w:rFonts w:ascii="Times New Roman" w:hAnsi="Times New Roman"/>
                <w:sz w:val="22"/>
              </w:rPr>
            </w:r>
          </w:p>
        </w:tc>
      </w:tr>
      <w:tr>
        <w:tc>
          <w:tcPr>
            <w:tcW w:type="dxa" w:w="3230"/>
          </w:tcPr>
          <w:p>
            <w:r>
              <w:rPr>
                <w:rFonts w:ascii="Times New Roman" w:hAnsi="Times New Roman"/>
                <w:sz w:val="22"/>
              </w:rPr>
              <w:t>2,5 – 4,0</w:t>
            </w:r>
          </w:p>
        </w:tc>
        <w:tc>
          <w:tcPr>
            <w:tcW w:type="dxa" w:w="3230"/>
          </w:tcPr>
          <w:p>
            <w:r>
              <w:rPr>
                <w:rFonts w:ascii="Times New Roman" w:hAnsi="Times New Roman"/>
                <w:sz w:val="22"/>
              </w:rPr>
              <w:t>Trung bình</w:t>
            </w:r>
          </w:p>
        </w:tc>
        <w:tc>
          <w:tcPr>
            <w:tcW w:type="dxa" w:w="3230"/>
          </w:tcPr>
          <w:p>
            <w:r>
              <w:rPr>
                <w:rFonts w:ascii="Times New Roman" w:hAnsi="Times New Roman"/>
                <w:sz w:val="22"/>
              </w:rPr>
            </w:r>
          </w:p>
        </w:tc>
      </w:tr>
      <w:tr>
        <w:tc>
          <w:tcPr>
            <w:tcW w:type="dxa" w:w="3230"/>
          </w:tcPr>
          <w:p>
            <w:r>
              <w:rPr>
                <w:rFonts w:ascii="Times New Roman" w:hAnsi="Times New Roman"/>
                <w:sz w:val="22"/>
              </w:rPr>
              <w:t>4,0 – 6,0</w:t>
            </w:r>
          </w:p>
        </w:tc>
        <w:tc>
          <w:tcPr>
            <w:tcW w:type="dxa" w:w="3230"/>
          </w:tcPr>
          <w:p>
            <w:r>
              <w:rPr>
                <w:rFonts w:ascii="Times New Roman" w:hAnsi="Times New Roman"/>
                <w:sz w:val="22"/>
              </w:rPr>
              <w:t>Mạnh</w:t>
            </w:r>
          </w:p>
        </w:tc>
        <w:tc>
          <w:tcPr>
            <w:tcW w:type="dxa" w:w="3230"/>
          </w:tcPr>
          <w:p>
            <w:r>
              <w:rPr>
                <w:rFonts w:ascii="Times New Roman" w:hAnsi="Times New Roman"/>
                <w:sz w:val="22"/>
              </w:rPr>
            </w:r>
          </w:p>
        </w:tc>
      </w:tr>
      <w:tr>
        <w:tc>
          <w:tcPr>
            <w:tcW w:type="dxa" w:w="3230"/>
          </w:tcPr>
          <w:p>
            <w:r>
              <w:rPr>
                <w:rFonts w:ascii="Times New Roman" w:hAnsi="Times New Roman"/>
                <w:sz w:val="22"/>
              </w:rPr>
              <w:t>&gt; 6,0</w:t>
            </w:r>
          </w:p>
        </w:tc>
        <w:tc>
          <w:tcPr>
            <w:tcW w:type="dxa" w:w="3230"/>
          </w:tcPr>
          <w:p>
            <w:r>
              <w:rPr>
                <w:rFonts w:ascii="Times New Roman" w:hAnsi="Times New Roman"/>
                <w:sz w:val="22"/>
              </w:rPr>
              <w:t>Rất mạnh / cực mạnh</w:t>
            </w:r>
          </w:p>
        </w:tc>
        <w:tc>
          <w:tcPr>
            <w:tcW w:type="dxa" w:w="3230"/>
          </w:tcPr>
          <w:p>
            <w:r>
              <w:rPr>
                <w:rFonts w:ascii="Times New Roman" w:hAnsi="Times New Roman"/>
                <w:sz w:val="22"/>
              </w:rPr>
              <w:t>✓ OR = 11,579 thuộc nhóm này — VƯỢT XA ngưỡng "very strong"</w:t>
            </w:r>
          </w:p>
        </w:tc>
      </w:tr>
    </w:tbl>
    <w:p>
      <w:r>
        <w:rPr>
          <w:b w:val="0"/>
          <w:i w:val="0"/>
          <w:color w:val="000000"/>
          <w:sz w:val="24"/>
        </w:rPr>
      </w:r>
    </w:p>
    <w:p>
      <w:r>
        <w:rPr>
          <w:b/>
          <w:i w:val="0"/>
          <w:color w:val="000000"/>
          <w:sz w:val="24"/>
        </w:rPr>
        <w:t>OR = 11,579 là CỰC LỚN. Trong bối cảnh tâm lý vị thành niên, OR &gt; 10 ở một yếu tố nguy cơ duy nhất là phát hiện đáng nghi ngờ về phương pháp — cần kiểm tra:</w:t>
      </w:r>
    </w:p>
    <w:p>
      <w:pPr>
        <w:pStyle w:val="ListBullet"/>
      </w:pPr>
      <w:r>
        <w:rPr>
          <w:i w:val="0"/>
          <w:color w:val="000000"/>
          <w:sz w:val="24"/>
        </w:rPr>
        <w:t>Cỡ mẫu có đủ lớn không? OR cao đôi khi do cỡ mẫu nhỏ + ít người trong ô tham chiếu.</w:t>
      </w:r>
    </w:p>
    <w:p>
      <w:pPr>
        <w:pStyle w:val="ListBullet"/>
      </w:pPr>
      <w:r>
        <w:rPr>
          <w:i w:val="0"/>
          <w:color w:val="000000"/>
          <w:sz w:val="24"/>
        </w:rPr>
        <w:t>KTC 95% rộng cỡ nào? Nếu KTC kiểu 4–25 thì điểm ước lượng 11,5 không đáng tin cậy.</w:t>
      </w:r>
    </w:p>
    <w:p>
      <w:pPr>
        <w:pStyle w:val="ListBullet"/>
      </w:pPr>
      <w:r>
        <w:rPr>
          <w:i w:val="0"/>
          <w:color w:val="000000"/>
          <w:sz w:val="24"/>
        </w:rPr>
        <w:t>Đã hiệu chỉnh confounders chưa (đặc biệt: trầm cảm đồng mắc, giới, lớp, hoàn cảnh kinh tế)?</w:t>
      </w:r>
    </w:p>
    <w:p>
      <w:pPr>
        <w:pStyle w:val="ListBullet"/>
      </w:pPr>
      <w:r>
        <w:rPr>
          <w:i w:val="0"/>
          <w:color w:val="000000"/>
          <w:sz w:val="24"/>
        </w:rPr>
        <w:t>Định nghĩa "áp lực rất cao" và "áp lực rất thấp" có khoảng cách thực sự lớn không, hay chỉ là 2 đầu phân cực của thang Likert?</w:t>
      </w:r>
    </w:p>
    <w:p>
      <w:r>
        <w:rPr>
          <w:b/>
          <w:color w:val="0070C0"/>
          <w:sz w:val="28"/>
        </w:rPr>
        <w:t>5. CÂU TRẢ LỜI</w:t>
      </w:r>
    </w:p>
    <w:p>
      <w:r>
        <w:rPr>
          <w:b/>
          <w:color w:val="0070C0"/>
          <w:sz w:val="24"/>
        </w:rPr>
        <w:t>Trả lời ngắn cho thầy:</w:t>
      </w:r>
    </w:p>
    <w:p>
      <w:r>
        <w:rPr>
          <w:b w:val="0"/>
          <w:color w:val="0070C0"/>
          <w:sz w:val="24"/>
        </w:rPr>
        <w:t>Diễn đạt của thầy đúng về Ý NGHĨA TỔNG THỂ — học sinh áp lực học tập rất cao có khả năng (theo odds) bị lo âu nặng cao hơn nhiều so với áp lực rất thấp. Nhưng có MỘT CHỖ CẦN CHỈNH cho chính xác về thống kê: chữ "nguy cơ".</w:t>
      </w:r>
    </w:p>
    <w:p>
      <w:r>
        <w:rPr>
          <w:b/>
          <w:color w:val="0070C0"/>
          <w:sz w:val="24"/>
        </w:rPr>
        <w:t>Vấn đề:</w:t>
      </w:r>
    </w:p>
    <w:p>
      <w:pPr>
        <w:pStyle w:val="ListBullet"/>
      </w:pPr>
      <w:r>
        <w:rPr>
          <w:color w:val="0070C0"/>
          <w:sz w:val="24"/>
        </w:rPr>
        <w:t>OR (Odds Ratio) ≠ RR (Risk Ratio). OR là tỷ số CHÊNH (odds), không phải tỷ số NGUY CƠ. Khi outcome không hiếm (lo âu nặng ở HS ~ 5–15%), OR phóng đại so với RR thật.</w:t>
      </w:r>
    </w:p>
    <w:p>
      <w:pPr>
        <w:pStyle w:val="ListBullet"/>
      </w:pPr>
      <w:r>
        <w:rPr>
          <w:color w:val="0070C0"/>
          <w:sz w:val="24"/>
        </w:rPr>
        <w:t>Với OR = 11,5 và prevalence ~ 10%, RR thực tế ước tính chỉ khoảng 4–6 — tức nguy cơ thật (theo risk) gấp khoảng 4–6 lần, KHÔNG PHẢI 11,5 lần.</w:t>
      </w:r>
    </w:p>
    <w:p>
      <w:r>
        <w:rPr>
          <w:b/>
          <w:color w:val="0070C0"/>
          <w:sz w:val="24"/>
        </w:rPr>
        <w:t>Hai cách diễn đạt khuyến nghị:</w:t>
      </w:r>
    </w:p>
    <w:p>
      <w:r>
        <w:rPr>
          <w:b w:val="0"/>
          <w:color w:val="0070C0"/>
          <w:sz w:val="24"/>
        </w:rPr>
        <w:t>Cách 1 — chính xác thống kê (khuyên dùng cho báo cáo nghiên cứu, đề cương, luận văn):</w:t>
      </w:r>
    </w:p>
    <w:p>
      <w:pPr>
        <w:pStyle w:val="ListBullet"/>
      </w:pPr>
      <w:r>
        <w:rPr>
          <w:color w:val="0070C0"/>
          <w:sz w:val="24"/>
        </w:rPr>
        <w:t>"Học sinh chịu áp lực học tập rất cao có ODDS (khả năng tương đối) bị rối loạn lo âu nặng GẤP KHOẢNG 11,5 LẦN so với học sinh chịu áp lực học tập rất thấp (OR = 11,579; KTC 95% = …)."</w:t>
      </w:r>
    </w:p>
    <w:p>
      <w:r>
        <w:rPr>
          <w:b w:val="0"/>
          <w:color w:val="0070C0"/>
          <w:sz w:val="24"/>
        </w:rPr>
        <w:t>Cách 2 — phổ thông (chấp nhận được cho báo cáo dạng phổ biến, kèm chú thích):</w:t>
      </w:r>
    </w:p>
    <w:p>
      <w:pPr>
        <w:pStyle w:val="ListBullet"/>
      </w:pPr>
      <w:r>
        <w:rPr>
          <w:color w:val="0070C0"/>
          <w:sz w:val="24"/>
        </w:rPr>
        <w:t>"Học sinh chịu áp lực học tập rất cao có nguy cơ bị rối loạn lo âu nặng cao gấp khoảng 11,5 lần so với áp lực rất thấp (OR = 11,579). Lưu ý: con số này là tỷ số chênh (odds ratio); vì lo âu nặng không phải biến cố hiếm, nguy cơ tuyệt đối có thể thấp hơn — RR ước tính khoảng 4–6 lần."</w:t>
      </w:r>
    </w:p>
    <w:p>
      <w:r>
        <w:rPr>
          <w:b/>
          <w:color w:val="0070C0"/>
          <w:sz w:val="24"/>
        </w:rPr>
        <w:t>Bình luận thêm về độ mạnh:</w:t>
      </w:r>
    </w:p>
    <w:p>
      <w:pPr>
        <w:pStyle w:val="ListBullet"/>
      </w:pPr>
      <w:r>
        <w:rPr>
          <w:color w:val="0070C0"/>
          <w:sz w:val="24"/>
        </w:rPr>
        <w:t>OR = 11,579 thuộc nhóm CỰC MẠNH (vượt xa ngưỡng "very strong" &gt; 6). Đây là OR cao khác thường — cần kiểm tra KTC 95%, cỡ mẫu, cách định nghĩa "áp lực rất cao" và "rất thấp", và các confounders đã được hiệu chỉnh chưa.</w:t>
      </w:r>
    </w:p>
    <w:p>
      <w:pPr>
        <w:pStyle w:val="ListBullet"/>
      </w:pPr>
      <w:r>
        <w:rPr>
          <w:color w:val="0070C0"/>
          <w:sz w:val="24"/>
        </w:rPr>
        <w:t>OR cực cao đôi khi do mẫu so sánh nhỏ ở cực dưới (số HS "áp lực rất thấp" ít → tỷ lệ lo âu nặng ở nhóm này gần 0 → odds nhóm tham chiếu rất nhỏ → OR phình ra). Khi viết báo cáo, thầy nên nêu cả KTC 95% để người đọc đánh giá độ tin cậy.</w:t>
      </w:r>
    </w:p>
    <w:p>
      <w:pPr>
        <w:pStyle w:val="ListBullet"/>
      </w:pPr>
      <w:r>
        <w:rPr>
          <w:color w:val="0070C0"/>
          <w:sz w:val="24"/>
        </w:rPr>
        <w:t>Phát hiện rằng áp lực học tập là yếu tố nguy cơ MẠNH NHẤT phù hợp với corpus dự án (QT067 Pascoe 2020, VN013 Tô Thị Hồng 2017, các nghiên cứu Trung Quốc cùng thời). Đáng đưa vào báo cáo can thiệp.</w:t>
      </w:r>
    </w:p>
    <w:p>
      <w:r>
        <w:rPr>
          <w:b/>
          <w:color w:val="0070C0"/>
          <w:sz w:val="24"/>
        </w:rPr>
        <w:t>Tóm lại:</w:t>
      </w:r>
    </w:p>
    <w:p>
      <w:r>
        <w:rPr>
          <w:b w:val="0"/>
          <w:color w:val="0070C0"/>
          <w:sz w:val="24"/>
        </w:rPr>
        <w:t>Ý của thầy ĐÚNG. Chỉ cần đổi "nguy cơ" → "odds/khả năng" trong câu chính, hoặc giữ từ "nguy cơ" nhưng thêm chú thích về việc OR phóng đại so với RR khi outcome không hiếm. Đồng thời đính kèm KTC 95% mỗi khi trích OR = 11,579.</w:t>
      </w:r>
    </w:p>
    <w:p>
      <w:r>
        <w:rPr>
          <w:b/>
          <w:color w:val="1F497D"/>
          <w:sz w:val="28"/>
        </w:rPr>
        <w:t>6. Phụ lục — Tài liệu tham khảo</w:t>
      </w:r>
    </w:p>
    <w:p>
      <w:r>
        <w:rPr>
          <w:b w:val="0"/>
          <w:i/>
          <w:color w:val="000000"/>
          <w:sz w:val="24"/>
        </w:rPr>
        <w:t>1. Wen, X., et al. (2020). [Bài gốc thầy đang trích — cần bổ sung citation đầy đủ từ PDF: tên đầy đủ, tạp chí, DOI]. — Khi đưa OR = 11,579 vào báo cáo cuối, em đề nghị thầy điền KTC 95% từ bài gốc để trích dẫn đầy đủ.</w:t>
      </w:r>
    </w:p>
    <w:p>
      <w:r>
        <w:rPr>
          <w:b w:val="0"/>
          <w:i/>
          <w:color w:val="000000"/>
          <w:sz w:val="24"/>
        </w:rPr>
        <w:t>2. Zhang, J., &amp; Yu, K. F. (1998). What's the relative risk? A method of correcting the odds ratio in cohort studies of common outcomes. JAMA, 280(19), 1690–1691. doi:10.1001/jama.280.19.1690 — Công thức kinh điển để chuyển đổi OR → RR khi outcome phổ biến.</w:t>
      </w:r>
    </w:p>
    <w:p>
      <w:r>
        <w:rPr>
          <w:b w:val="0"/>
          <w:i/>
          <w:color w:val="000000"/>
          <w:sz w:val="24"/>
        </w:rPr>
        <w:t>3. Davies, H. T. O., Crombie, I. K., &amp; Tavakoli, M. (1998). When can odds ratios mislead? BMJ, 316(7136), 989–991. doi:10.1136/bmj.316.7136.989 — Bài kinh điển cảnh báo về việc dùng OR thay RR; có bảng quy đổi nhanh.</w:t>
      </w:r>
    </w:p>
    <w:p>
      <w:r>
        <w:rPr>
          <w:b w:val="0"/>
          <w:i/>
          <w:color w:val="000000"/>
          <w:sz w:val="24"/>
        </w:rPr>
        <w:t>4. Schmidt, C. O., &amp; Kohlmann, T. (2008). When to use the odds ratio or the relative risk? International Journal of Public Health, 53(3), 165–167. — Hướng dẫn chọn OR hay RR theo loại nghiên cứu.</w:t>
      </w:r>
    </w:p>
    <w:p>
      <w:r>
        <w:rPr>
          <w:b w:val="0"/>
          <w:i/>
          <w:color w:val="000000"/>
          <w:sz w:val="24"/>
        </w:rPr>
        <w:t>5. Hosmer, D. W., Lemeshow, S., &amp; Sturdivant, R. X. (2013). Applied Logistic Regression (3rd ed.). Hoboken, NJ: Wiley. — Sách tham khảo chuẩn về OR.</w:t>
      </w:r>
    </w:p>
    <w:p>
      <w:r>
        <w:rPr>
          <w:b w:val="0"/>
          <w:i w:val="0"/>
          <w:color w:val="000000"/>
          <w:sz w:val="24"/>
        </w:rPr>
        <w:t>6. Tham khảo trong corpus dự án (DB Lo-au):</w:t>
      </w:r>
    </w:p>
    <w:p>
      <w:pPr>
        <w:pStyle w:val="ListBullet"/>
      </w:pPr>
      <w:r>
        <w:rPr>
          <w:i/>
          <w:color w:val="000000"/>
          <w:sz w:val="24"/>
        </w:rPr>
        <w:t>QT067 Pascoe, Hetrick &amp; Parker (2020) — narrative review về academic stress; phù hợp với phát hiện áp lực học tập là nguy cơ mạnh.</w:t>
      </w:r>
    </w:p>
    <w:p>
      <w:pPr>
        <w:pStyle w:val="ListBullet"/>
      </w:pPr>
      <w:r>
        <w:rPr>
          <w:i/>
          <w:color w:val="000000"/>
          <w:sz w:val="24"/>
        </w:rPr>
        <w:t>VN002 VNAMHS 2022 — prevalence lo âu trẻ VN, dùng để ước tính RR thật từ OR.</w:t>
      </w:r>
    </w:p>
    <w:p>
      <w:pPr>
        <w:pStyle w:val="ListBullet"/>
      </w:pPr>
      <w:r>
        <w:rPr>
          <w:i/>
          <w:color w:val="000000"/>
          <w:sz w:val="24"/>
        </w:rPr>
        <w:t>VN013 Tô Thị Hồng (2017) — DASS-21 trên HS THCS Hà Nội; có dữ liệu OR theo áp lực học tập + parenting.</w:t>
      </w:r>
    </w:p>
    <w:p>
      <w:pPr>
        <w:pStyle w:val="ListBullet"/>
      </w:pPr>
      <w:r>
        <w:rPr>
          <w:i/>
          <w:color w:val="000000"/>
          <w:sz w:val="24"/>
        </w:rPr>
        <w:t>VN016 Nguyễn Cao Minh (2012) — RCADS chuẩn hóa VN; baseline prevalence để compare.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