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6"/>
        </w:rPr>
        <w:t>Phản biện Nguyễn Thị Vân (2020) — VN004</w:t>
      </w:r>
    </w:p>
    <w:p>
      <w:r>
        <w:rPr>
          <w:b/>
          <w:color w:val="1F497D"/>
          <w:sz w:val="28"/>
        </w:rPr>
        <w:t>— Yếu tố ảnh hưởng đến rối loạn lo âu HS THPT TP.HCM —</w:t>
      </w:r>
    </w:p>
    <w:p>
      <w:r>
        <w:rPr>
          <w:b/>
          <w:color w:val="1F497D"/>
          <w:sz w:val="28"/>
        </w:rPr>
        <w:t>Câu hỏi của thầy</w:t>
      </w:r>
    </w:p>
    <w:p>
      <w:r>
        <w:rPr>
          <w:b w:val="0"/>
          <w:i w:val="0"/>
          <w:color w:val="0070C0"/>
          <w:sz w:val="24"/>
        </w:rPr>
        <w:t>Em sửa cho thầy câu bình luận này nhé. Nguyễn Thị Vân về yếu tố ảnh hưởng:</w:t>
      </w:r>
    </w:p>
    <w:p>
      <w:r>
        <w:rPr>
          <w:b w:val="0"/>
          <w:i w:val="0"/>
          <w:color w:val="0070C0"/>
          <w:sz w:val="24"/>
        </w:rPr>
        <w:t>"Về số liệu liên quan đến áp lực từ phía gia đình, các tác giả chỉ mới đưa ra tỷ lệ % thô, không có kiểm chứng bằng các phép toán thống kê hiện đại, thiếu phân tích đa biến để kiểm soát các yếu tố gây nhiễu."</w:t>
      </w:r>
    </w:p>
    <w:p>
      <w:r>
        <w:rPr>
          <w:b w:val="0"/>
          <w:i w:val="0"/>
          <w:color w:val="0070C0"/>
          <w:sz w:val="24"/>
        </w:rPr>
        <w:t>Hoặc: Em cho thầy phản biện đầy đủ về Nguyễn Thị Vân với các yếu tố ảnh hưởng nhé. Một số tác giả VN chỉ tính % rồi bình luận, không có p, thiếu các hệ số khác mà Em đã giải thích cho thầy trong nhiều bài trước.</w:t>
      </w:r>
    </w:p>
    <w:p>
      <w:r>
        <w:rPr>
          <w:b/>
          <w:color w:val="1F497D"/>
          <w:sz w:val="28"/>
        </w:rPr>
        <w:t>Bối cảnh — VN004 Nguyễn Thị Vân (2020)</w:t>
      </w:r>
    </w:p>
    <w:p>
      <w:r>
        <w:rPr>
          <w:b w:val="0"/>
          <w:i w:val="0"/>
          <w:color w:val="000000"/>
          <w:sz w:val="24"/>
        </w:rPr>
        <w:t>Bài "Mức độ lo âu của học sinh trung học phổ thông thành phố Hồ Chí Minh" (Nguyễn Thị Vân, 2018; Tạp chí Khoa học - Khoa học Giáo dục, ĐHSP TP.HCM). Một số phiên bản khác công bố 2019 (luận án TS) và 2020.</w:t>
      </w:r>
    </w:p>
    <w:p>
      <w:r>
        <w:rPr>
          <w:b w:val="0"/>
          <w:i w:val="0"/>
          <w:color w:val="000000"/>
          <w:sz w:val="24"/>
        </w:rPr>
        <w:t>Trong corpus dự án: VN004 = NguyenThiVan_2020_STAI_TPHCM (PDF + tóm tắt — chưa có bản dịch).</w:t>
      </w:r>
    </w:p>
    <w:p>
      <w:r>
        <w:rPr>
          <w:b w:val="0"/>
          <w:i w:val="0"/>
          <w:color w:val="000000"/>
          <w:sz w:val="24"/>
        </w:rPr>
        <w:t>Phương pháp: cắt ngang 2 pha — sàng lọc 558 HS bằng STAI Spielberger (bản Việt hóa Nguyễn Công Khanh 2000) → 90 HS phân tích sâu (mẫu thuận tiện, 4 trường nội + ngoại thành TPHCM).</w:t>
      </w:r>
    </w:p>
    <w:p>
      <w:r>
        <w:rPr>
          <w:b w:val="0"/>
          <w:i w:val="0"/>
          <w:color w:val="000000"/>
          <w:sz w:val="24"/>
        </w:rPr>
        <w:t>Kết quả chính: tỷ lệ RLLA 15–18,5 %. 4 nhóm yếu tố ảnh hưởng được xác định: học tập / gia đình / quan hệ xã hội / bản thân HS.</w:t>
      </w:r>
    </w:p>
    <w:p>
      <w:r>
        <w:rPr>
          <w:b/>
          <w:color w:val="1F497D"/>
          <w:sz w:val="28"/>
        </w:rPr>
        <w:t>1. SỬA CÂU BÌNH LUẬN của thầy</w:t>
      </w:r>
    </w:p>
    <w:p>
      <w:r>
        <w:rPr>
          <w:b/>
          <w:i w:val="0"/>
          <w:color w:val="000000"/>
          <w:sz w:val="24"/>
        </w:rPr>
        <w:t>Câu thầy viết hiện tại đã đúng ý nhưng có thể chính xác và mạnh hơn. Đề xuất 2 phiên bản:</w:t>
      </w:r>
    </w:p>
    <w:p>
      <w:r>
        <w:rPr>
          <w:b/>
          <w:i w:val="0"/>
          <w:color w:val="007030"/>
          <w:sz w:val="24"/>
        </w:rPr>
        <w:t>Phiên bản A (ngắn, học thuật):</w:t>
      </w:r>
    </w:p>
    <w:p>
      <w:r>
        <w:rPr>
          <w:b w:val="0"/>
          <w:i/>
          <w:color w:val="007030"/>
          <w:sz w:val="24"/>
        </w:rPr>
        <w:t>"Đối với áp lực từ phía gia đình, tác giả chỉ báo cáo TỶ LỆ % các biểu hiện (kỳ vọng cha mẹ 48,9 %, mâu thuẫn... ) mà KHÔNG báo cáo các chỉ số thống kê suy luận: hệ số tương quan r kèm khoảng tin cậy, giá trị p, tỷ số chênh OR/AOR, hay phân tích hồi quy đa biến để kiểm soát yếu tố nhiễu. Việc này hạn chế khả năng kết luận về MỨC ĐỘ LIÊN QUAN giữa áp lực gia đình và RLLA — chỉ có thể mô tả TẦN SUẤT mà không đo được CƯỜNG ĐỘ ảnh hưởng."</w:t>
      </w:r>
    </w:p>
    <w:p>
      <w:r>
        <w:rPr>
          <w:b/>
          <w:i w:val="0"/>
          <w:color w:val="007030"/>
          <w:sz w:val="24"/>
        </w:rPr>
        <w:t>Phiên bản B (chi tiết, có dẫn nguồn):</w:t>
      </w:r>
    </w:p>
    <w:p>
      <w:r>
        <w:rPr>
          <w:b w:val="0"/>
          <w:i/>
          <w:color w:val="007030"/>
          <w:sz w:val="24"/>
        </w:rPr>
        <w:t>"Liên quan đến nhóm yếu tố áp lực gia đình, các tác giả mới dừng ở mô tả tần suất bằng tỷ lệ phần trăm thô (descriptive statistics), KHÔNG sử dụng các thống kê suy luận chuẩn (inferential statistics) như: (1) hệ số tương quan Pearson r kèm KTC 95% và p-value; (2) hồi quy đa biến (multiple regression) hoặc hồi quy logistic kiểm soát đồng thời các nhóm yếu tố học tập – gia đình – quan hệ xã hội – bản thân HS; (3) tỷ số chênh có hiệu chỉnh AOR cho từng yếu tố gia đình. Hạn chế này không cho phép xác định liệu áp lực gia đình có còn dự báo độc lập cho RLLA sau khi đã loại trừ ảnh hưởng của các nhóm yếu tố khác. Đây là điểm yếu phương pháp luận đáng lưu ý khi áp dụng cho bối cảnh nghiên cứu hiện đại (theo chuẩn STROBE 2007 và CONSORT 2010)."</w:t>
      </w:r>
    </w:p>
    <w:p>
      <w:r>
        <w:rPr>
          <w:b/>
          <w:color w:val="1F497D"/>
          <w:sz w:val="28"/>
        </w:rPr>
        <w:t>2. PHẢN BIỆN ĐẦY ĐỦ Nguyễn Thị Vân (2020) về yếu tố ảnh hưởng</w:t>
      </w:r>
    </w:p>
    <w:p>
      <w:r>
        <w:rPr>
          <w:b/>
          <w:i w:val="0"/>
          <w:color w:val="000000"/>
          <w:sz w:val="24"/>
        </w:rPr>
        <w:t>A. Điểm mạnh đáng ghi nhận</w:t>
      </w:r>
    </w:p>
    <w:p>
      <w:pPr>
        <w:pStyle w:val="ListBullet"/>
      </w:pPr>
      <w:r>
        <w:rPr>
          <w:i w:val="0"/>
          <w:color w:val="000000"/>
          <w:sz w:val="24"/>
        </w:rPr>
        <w:t>Là một trong số ÍT NC VN chuyên về YẾU TỐ ẢNH HƯỞNG (không chỉ prevalence). Đa số NC VN dừng ở mô tả tỷ lệ %.</w:t>
      </w:r>
    </w:p>
    <w:p>
      <w:pPr>
        <w:pStyle w:val="ListBullet"/>
      </w:pPr>
      <w:r>
        <w:rPr>
          <w:i w:val="0"/>
          <w:color w:val="000000"/>
          <w:sz w:val="24"/>
        </w:rPr>
        <w:t>Khung 4 nhóm yếu tố hệ thống (học tập / gia đình / quan hệ xã hội / bản thân HS) — phù hợp khung Bronfenbrenner.</w:t>
      </w:r>
    </w:p>
    <w:p>
      <w:pPr>
        <w:pStyle w:val="ListBullet"/>
      </w:pPr>
      <w:r>
        <w:rPr>
          <w:i w:val="0"/>
          <w:color w:val="000000"/>
          <w:sz w:val="24"/>
        </w:rPr>
        <w:t>Kết hợp định lượng (STAI) + định tính (phỏng vấn sâu 90 HS) — mixed methods design.</w:t>
      </w:r>
    </w:p>
    <w:p>
      <w:pPr>
        <w:pStyle w:val="ListBullet"/>
      </w:pPr>
      <w:r>
        <w:rPr>
          <w:i w:val="0"/>
          <w:color w:val="000000"/>
          <w:sz w:val="24"/>
        </w:rPr>
        <w:t>Phân tầng theo trường nội + ngoại thành TPHCM — bước đầu kiểm soát biến nhiễu địa lý.</w:t>
      </w:r>
    </w:p>
    <w:p>
      <w:r>
        <w:rPr>
          <w:b/>
          <w:i w:val="0"/>
          <w:color w:val="000000"/>
          <w:sz w:val="24"/>
        </w:rPr>
        <w:t>B. Hạn chế phương pháp luận chính</w:t>
      </w:r>
    </w:p>
    <w:p>
      <w:r>
        <w:rPr>
          <w:b/>
          <w:color w:val="1F497D"/>
          <w:sz w:val="24"/>
        </w:rPr>
        <w:t>B1. THIẾU thống kê suy luận</w:t>
      </w:r>
    </w:p>
    <w:p>
      <w:r>
        <w:rPr>
          <w:b w:val="0"/>
          <w:i w:val="0"/>
          <w:color w:val="000000"/>
          <w:sz w:val="24"/>
        </w:rPr>
        <w:t>Đây là điểm yếu lớn nhất — đúng như thầy đã nhận xét. Các vấn đề cụ thể:</w:t>
      </w:r>
    </w:p>
    <w:p>
      <w:pPr>
        <w:pStyle w:val="ListBullet"/>
      </w:pPr>
      <w:r>
        <w:rPr>
          <w:i w:val="0"/>
          <w:color w:val="000000"/>
          <w:sz w:val="24"/>
        </w:rPr>
        <w:t>KHÔNG có p-value cho từng yếu tố → không biết tỷ lệ X % có khác có ý nghĩa thống kê hay chỉ do ngẫu nhiên.</w:t>
      </w:r>
    </w:p>
    <w:p>
      <w:pPr>
        <w:pStyle w:val="ListBullet"/>
      </w:pPr>
      <w:r>
        <w:rPr>
          <w:i w:val="0"/>
          <w:color w:val="000000"/>
          <w:sz w:val="24"/>
        </w:rPr>
        <w:t>KHÔNG có hệ số tương quan r kèm KTC 95% (bài có nhắc r=0,42 cho nhóm "bản thân" nhưng KHÔNG có KTC, p, hay r cho các nhóm khác đầy đủ).</w:t>
      </w:r>
    </w:p>
    <w:p>
      <w:pPr>
        <w:pStyle w:val="ListBullet"/>
      </w:pPr>
      <w:r>
        <w:rPr>
          <w:i w:val="0"/>
          <w:color w:val="000000"/>
          <w:sz w:val="24"/>
        </w:rPr>
        <w:t>KHÔNG có hồi quy đa biến → không kiểm soát được yếu tố nhiễu (giới, lớp, kinh tế gia đình, học lực).</w:t>
      </w:r>
    </w:p>
    <w:p>
      <w:pPr>
        <w:pStyle w:val="ListBullet"/>
      </w:pPr>
      <w:r>
        <w:rPr>
          <w:i w:val="0"/>
          <w:color w:val="000000"/>
          <w:sz w:val="24"/>
        </w:rPr>
        <w:t>Con số "85,4 % giải thích" của nhóm bản thân HS gây nghi ngờ — không khớp với r=0,42 (vì r² = 0,176 = 17,6 %). Có thể là R² đa biến KHÔNG được trình bày rõ, hoặc là tỷ lệ % HS có biểu hiện chứ không phải variance explained.</w:t>
      </w:r>
    </w:p>
    <w:p>
      <w:r>
        <w:rPr>
          <w:b/>
          <w:color w:val="1F497D"/>
          <w:sz w:val="24"/>
        </w:rPr>
        <w:t>B2. Mẫu thuận tiện</w:t>
      </w:r>
    </w:p>
    <w:p>
      <w:pPr>
        <w:pStyle w:val="ListBullet"/>
      </w:pPr>
      <w:r>
        <w:rPr>
          <w:i w:val="0"/>
          <w:color w:val="000000"/>
          <w:sz w:val="24"/>
        </w:rPr>
        <w:t>90 HS phân tích sâu chọn theo "mẫu thuận tiện" (convenience sampling) — không ngẫu nhiên, không đại diện TPHCM.</w:t>
      </w:r>
    </w:p>
    <w:p>
      <w:pPr>
        <w:pStyle w:val="ListBullet"/>
      </w:pPr>
      <w:r>
        <w:rPr>
          <w:i w:val="0"/>
          <w:color w:val="000000"/>
          <w:sz w:val="24"/>
        </w:rPr>
        <w:t>558 HS sàng lọc cũng chỉ ở 4 trường, không phân tầng theo quận → bias chọn mẫu.</w:t>
      </w:r>
    </w:p>
    <w:p>
      <w:r>
        <w:rPr>
          <w:b/>
          <w:color w:val="1F497D"/>
          <w:sz w:val="24"/>
        </w:rPr>
        <w:t>B3. Công cụ cũ</w:t>
      </w:r>
    </w:p>
    <w:p>
      <w:pPr>
        <w:pStyle w:val="ListBullet"/>
      </w:pPr>
      <w:r>
        <w:rPr>
          <w:i w:val="0"/>
          <w:color w:val="000000"/>
          <w:sz w:val="24"/>
        </w:rPr>
        <w:t>STAI Spielberger phiên bản Việt hóa Nguyễn Công Khanh (2000) — KHÔNG cập nhật psychometric trong 20 năm.</w:t>
      </w:r>
    </w:p>
    <w:p>
      <w:pPr>
        <w:pStyle w:val="ListBullet"/>
      </w:pPr>
      <w:r>
        <w:rPr>
          <w:i w:val="0"/>
          <w:color w:val="000000"/>
          <w:sz w:val="24"/>
        </w:rPr>
        <w:t>Cronbach alpha không được báo cáo cho mẫu hiện tại → không biết độ tin cậy thực.</w:t>
      </w:r>
    </w:p>
    <w:p>
      <w:pPr>
        <w:pStyle w:val="ListBullet"/>
      </w:pPr>
      <w:r>
        <w:rPr>
          <w:i w:val="0"/>
          <w:color w:val="000000"/>
          <w:sz w:val="24"/>
        </w:rPr>
        <w:t>STAI đo "lo âu trạng thái" + "lo âu đặc điểm" — không phải chẩn đoán RLLA theo DSM-5/ICD-11. Bài dùng từ "RLLA" là KHÔNG CHÍNH XÁC.</w:t>
      </w:r>
    </w:p>
    <w:p>
      <w:r>
        <w:rPr>
          <w:b/>
          <w:color w:val="1F497D"/>
          <w:sz w:val="24"/>
        </w:rPr>
        <w:t>B4. Thiếu nhóm chứng</w:t>
      </w:r>
    </w:p>
    <w:p>
      <w:pPr>
        <w:pStyle w:val="ListBullet"/>
      </w:pPr>
      <w:r>
        <w:rPr>
          <w:i w:val="0"/>
          <w:color w:val="000000"/>
          <w:sz w:val="24"/>
        </w:rPr>
        <w:t>Không có nhóm chứng (HS không có biểu hiện lo âu). Các "yếu tố ảnh hưởng" thực tế chỉ là các biểu hiện CÓ ở nhóm có lo âu — không cho biết có đặc thù hơn nhóm chung không.</w:t>
      </w:r>
    </w:p>
    <w:p>
      <w:r>
        <w:rPr>
          <w:b/>
          <w:color w:val="1F497D"/>
          <w:sz w:val="24"/>
        </w:rPr>
        <w:t>B5. Phân tích yếu tố gia đình thiếu chiều sâu</w:t>
      </w:r>
    </w:p>
    <w:p>
      <w:pPr>
        <w:pStyle w:val="ListBullet"/>
      </w:pPr>
      <w:r>
        <w:rPr>
          <w:i w:val="0"/>
          <w:color w:val="000000"/>
          <w:sz w:val="24"/>
        </w:rPr>
        <w:t>Tác giả chỉ liệt kê các biểu hiện ("kỳ vọng cha mẹ 48,9 %", "mâu thuẫn cha mẹ X %") không phân tích MỨC ĐỘ tác động.</w:t>
      </w:r>
    </w:p>
    <w:p>
      <w:pPr>
        <w:pStyle w:val="ListBullet"/>
      </w:pPr>
      <w:r>
        <w:rPr>
          <w:i w:val="0"/>
          <w:color w:val="000000"/>
          <w:sz w:val="24"/>
        </w:rPr>
        <w:t>Không sử dụng thang đo chuẩn về Family Functioning (như FAD, McMaster) hay Parental Stress Scale.</w:t>
      </w:r>
    </w:p>
    <w:p>
      <w:pPr>
        <w:pStyle w:val="ListBullet"/>
      </w:pPr>
      <w:r>
        <w:rPr>
          <w:i w:val="0"/>
          <w:color w:val="000000"/>
          <w:sz w:val="24"/>
        </w:rPr>
        <w:t>Không tách "kỳ vọng cha mẹ" thành kỳ vọng học tập vs kỳ vọng nghề nghiệp vs kỳ vọng đạo đức.</w:t>
      </w:r>
    </w:p>
    <w:p>
      <w:r>
        <w:rPr>
          <w:b/>
          <w:i w:val="0"/>
          <w:color w:val="000000"/>
          <w:sz w:val="24"/>
        </w:rPr>
        <w:t>C. So sánh với chuẩn quốc tế</w:t>
      </w:r>
    </w:p>
    <w:p>
      <w:r>
        <w:rPr>
          <w:b w:val="0"/>
          <w:i w:val="0"/>
          <w:color w:val="000000"/>
          <w:sz w:val="24"/>
        </w:rPr>
        <w:t>Để minh họa khoảng cách phương pháp, em đối chiếu với 1 bài cùng chủ đề trong corpus:</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2"/>
              </w:rPr>
              <w:t>Tiêu chí</w:t>
            </w:r>
          </w:p>
        </w:tc>
        <w:tc>
          <w:tcPr>
            <w:tcW w:type="dxa" w:w="3230"/>
          </w:tcPr>
          <w:p>
            <w:r>
              <w:rPr>
                <w:rFonts w:ascii="Times New Roman" w:hAnsi="Times New Roman"/>
                <w:sz w:val="22"/>
              </w:rPr>
              <w:t>Nguyễn Thị Vân (2020)</w:t>
            </w:r>
          </w:p>
        </w:tc>
        <w:tc>
          <w:tcPr>
            <w:tcW w:type="dxa" w:w="3230"/>
          </w:tcPr>
          <w:p>
            <w:r>
              <w:rPr>
                <w:rFonts w:ascii="Times New Roman" w:hAnsi="Times New Roman"/>
                <w:sz w:val="22"/>
              </w:rPr>
              <w:t>Qiu et al. (2022) QT008 Trung Quốc</w:t>
            </w:r>
          </w:p>
        </w:tc>
      </w:tr>
      <w:tr>
        <w:tc>
          <w:tcPr>
            <w:tcW w:type="dxa" w:w="3230"/>
          </w:tcPr>
          <w:p>
            <w:r>
              <w:rPr>
                <w:rFonts w:ascii="Times New Roman" w:hAnsi="Times New Roman"/>
                <w:sz w:val="22"/>
              </w:rPr>
              <w:t>Cỡ mẫu</w:t>
            </w:r>
          </w:p>
        </w:tc>
        <w:tc>
          <w:tcPr>
            <w:tcW w:type="dxa" w:w="3230"/>
          </w:tcPr>
          <w:p>
            <w:r>
              <w:rPr>
                <w:rFonts w:ascii="Times New Roman" w:hAnsi="Times New Roman"/>
                <w:sz w:val="22"/>
              </w:rPr>
              <w:t>90 HS sâu (558 sàng lọc)</w:t>
            </w:r>
          </w:p>
        </w:tc>
        <w:tc>
          <w:tcPr>
            <w:tcW w:type="dxa" w:w="3230"/>
          </w:tcPr>
          <w:p>
            <w:r>
              <w:rPr>
                <w:rFonts w:ascii="Times New Roman" w:hAnsi="Times New Roman"/>
                <w:sz w:val="22"/>
              </w:rPr>
              <w:t>2.079 HS THCS</w:t>
            </w:r>
          </w:p>
        </w:tc>
      </w:tr>
      <w:tr>
        <w:tc>
          <w:tcPr>
            <w:tcW w:type="dxa" w:w="3230"/>
          </w:tcPr>
          <w:p>
            <w:r>
              <w:rPr>
                <w:rFonts w:ascii="Times New Roman" w:hAnsi="Times New Roman"/>
                <w:sz w:val="22"/>
              </w:rPr>
              <w:t>Lấy mẫu</w:t>
            </w:r>
          </w:p>
        </w:tc>
        <w:tc>
          <w:tcPr>
            <w:tcW w:type="dxa" w:w="3230"/>
          </w:tcPr>
          <w:p>
            <w:r>
              <w:rPr>
                <w:rFonts w:ascii="Times New Roman" w:hAnsi="Times New Roman"/>
                <w:sz w:val="22"/>
              </w:rPr>
              <w:t>Thuận tiện</w:t>
            </w:r>
          </w:p>
        </w:tc>
        <w:tc>
          <w:tcPr>
            <w:tcW w:type="dxa" w:w="3230"/>
          </w:tcPr>
          <w:p>
            <w:r>
              <w:rPr>
                <w:rFonts w:ascii="Times New Roman" w:hAnsi="Times New Roman"/>
                <w:sz w:val="22"/>
              </w:rPr>
              <w:t>Phân tầng ngẫu nhiên</w:t>
            </w:r>
          </w:p>
        </w:tc>
      </w:tr>
      <w:tr>
        <w:tc>
          <w:tcPr>
            <w:tcW w:type="dxa" w:w="3230"/>
          </w:tcPr>
          <w:p>
            <w:r>
              <w:rPr>
                <w:rFonts w:ascii="Times New Roman" w:hAnsi="Times New Roman"/>
                <w:sz w:val="22"/>
              </w:rPr>
              <w:t>Báo cáo OR/AOR</w:t>
            </w:r>
          </w:p>
        </w:tc>
        <w:tc>
          <w:tcPr>
            <w:tcW w:type="dxa" w:w="3230"/>
          </w:tcPr>
          <w:p>
            <w:r>
              <w:rPr>
                <w:rFonts w:ascii="Times New Roman" w:hAnsi="Times New Roman"/>
                <w:sz w:val="22"/>
              </w:rPr>
              <w:t>Không</w:t>
            </w:r>
          </w:p>
        </w:tc>
        <w:tc>
          <w:tcPr>
            <w:tcW w:type="dxa" w:w="3230"/>
          </w:tcPr>
          <w:p>
            <w:r>
              <w:rPr>
                <w:rFonts w:ascii="Times New Roman" w:hAnsi="Times New Roman"/>
                <w:sz w:val="22"/>
              </w:rPr>
              <w:t>Có (OR=2,01 KTC 95% 1,38–2,92 cho nuôi dạy tiêu cực)</w:t>
            </w:r>
          </w:p>
        </w:tc>
      </w:tr>
      <w:tr>
        <w:tc>
          <w:tcPr>
            <w:tcW w:type="dxa" w:w="3230"/>
          </w:tcPr>
          <w:p>
            <w:r>
              <w:rPr>
                <w:rFonts w:ascii="Times New Roman" w:hAnsi="Times New Roman"/>
                <w:sz w:val="22"/>
              </w:rPr>
              <w:t>p-value</w:t>
            </w:r>
          </w:p>
        </w:tc>
        <w:tc>
          <w:tcPr>
            <w:tcW w:type="dxa" w:w="3230"/>
          </w:tcPr>
          <w:p>
            <w:r>
              <w:rPr>
                <w:rFonts w:ascii="Times New Roman" w:hAnsi="Times New Roman"/>
                <w:sz w:val="22"/>
              </w:rPr>
              <w:t>Không</w:t>
            </w:r>
          </w:p>
        </w:tc>
        <w:tc>
          <w:tcPr>
            <w:tcW w:type="dxa" w:w="3230"/>
          </w:tcPr>
          <w:p>
            <w:r>
              <w:rPr>
                <w:rFonts w:ascii="Times New Roman" w:hAnsi="Times New Roman"/>
                <w:sz w:val="22"/>
              </w:rPr>
              <w:t>Có</w:t>
            </w:r>
          </w:p>
        </w:tc>
      </w:tr>
      <w:tr>
        <w:tc>
          <w:tcPr>
            <w:tcW w:type="dxa" w:w="3230"/>
          </w:tcPr>
          <w:p>
            <w:r>
              <w:rPr>
                <w:rFonts w:ascii="Times New Roman" w:hAnsi="Times New Roman"/>
                <w:sz w:val="22"/>
              </w:rPr>
              <w:t>Hồi quy đa biến</w:t>
            </w:r>
          </w:p>
        </w:tc>
        <w:tc>
          <w:tcPr>
            <w:tcW w:type="dxa" w:w="3230"/>
          </w:tcPr>
          <w:p>
            <w:r>
              <w:rPr>
                <w:rFonts w:ascii="Times New Roman" w:hAnsi="Times New Roman"/>
                <w:sz w:val="22"/>
              </w:rPr>
              <w:t>Không rõ ràng</w:t>
            </w:r>
          </w:p>
        </w:tc>
        <w:tc>
          <w:tcPr>
            <w:tcW w:type="dxa" w:w="3230"/>
          </w:tcPr>
          <w:p>
            <w:r>
              <w:rPr>
                <w:rFonts w:ascii="Times New Roman" w:hAnsi="Times New Roman"/>
                <w:sz w:val="22"/>
              </w:rPr>
              <w:t>Có — kiểm soát giới, lớp, KT gia đình</w:t>
            </w:r>
          </w:p>
        </w:tc>
      </w:tr>
      <w:tr>
        <w:tc>
          <w:tcPr>
            <w:tcW w:type="dxa" w:w="3230"/>
          </w:tcPr>
          <w:p>
            <w:r>
              <w:rPr>
                <w:rFonts w:ascii="Times New Roman" w:hAnsi="Times New Roman"/>
                <w:sz w:val="22"/>
              </w:rPr>
              <w:t>Công cụ đo gia đình</w:t>
            </w:r>
          </w:p>
        </w:tc>
        <w:tc>
          <w:tcPr>
            <w:tcW w:type="dxa" w:w="3230"/>
          </w:tcPr>
          <w:p>
            <w:r>
              <w:rPr>
                <w:rFonts w:ascii="Times New Roman" w:hAnsi="Times New Roman"/>
                <w:sz w:val="22"/>
              </w:rPr>
              <w:t>Bảng hỏi tự thiết kế</w:t>
            </w:r>
          </w:p>
        </w:tc>
        <w:tc>
          <w:tcPr>
            <w:tcW w:type="dxa" w:w="3230"/>
          </w:tcPr>
          <w:p>
            <w:r>
              <w:rPr>
                <w:rFonts w:ascii="Times New Roman" w:hAnsi="Times New Roman"/>
                <w:sz w:val="22"/>
              </w:rPr>
              <w:t>EMBU-C (chuẩn quốc tế)</w:t>
            </w:r>
          </w:p>
        </w:tc>
      </w:tr>
      <w:tr>
        <w:tc>
          <w:tcPr>
            <w:tcW w:type="dxa" w:w="3230"/>
          </w:tcPr>
          <w:p>
            <w:r>
              <w:rPr>
                <w:rFonts w:ascii="Times New Roman" w:hAnsi="Times New Roman"/>
                <w:sz w:val="22"/>
              </w:rPr>
              <w:t>Tạp chí</w:t>
            </w:r>
          </w:p>
        </w:tc>
        <w:tc>
          <w:tcPr>
            <w:tcW w:type="dxa" w:w="3230"/>
          </w:tcPr>
          <w:p>
            <w:r>
              <w:rPr>
                <w:rFonts w:ascii="Times New Roman" w:hAnsi="Times New Roman"/>
                <w:sz w:val="22"/>
              </w:rPr>
              <w:t>TC Khoa học ĐHSP TPHCM</w:t>
            </w:r>
          </w:p>
        </w:tc>
        <w:tc>
          <w:tcPr>
            <w:tcW w:type="dxa" w:w="3230"/>
          </w:tcPr>
          <w:p>
            <w:r>
              <w:rPr>
                <w:rFonts w:ascii="Times New Roman" w:hAnsi="Times New Roman"/>
                <w:sz w:val="22"/>
              </w:rPr>
              <w:t>Frontiers in Public Health (Q2)</w:t>
            </w:r>
          </w:p>
        </w:tc>
      </w:tr>
    </w:tbl>
    <w:p>
      <w:r>
        <w:rPr>
          <w:b w:val="0"/>
          <w:i w:val="0"/>
          <w:color w:val="000000"/>
          <w:sz w:val="24"/>
        </w:rPr>
      </w:r>
    </w:p>
    <w:p>
      <w:r>
        <w:rPr>
          <w:b/>
          <w:i w:val="0"/>
          <w:color w:val="000000"/>
          <w:sz w:val="24"/>
        </w:rPr>
        <w:t>D. Đề xuất cải tiến (cho thầy nếu viết NC tương tự)</w:t>
      </w:r>
    </w:p>
    <w:p>
      <w:pPr>
        <w:pStyle w:val="ListBullet"/>
      </w:pPr>
      <w:r>
        <w:rPr>
          <w:i w:val="0"/>
          <w:color w:val="000000"/>
          <w:sz w:val="24"/>
        </w:rPr>
        <w:t>Dùng thang đo gia đình chuẩn: FAD-12 hoặc PARQ.</w:t>
      </w:r>
    </w:p>
    <w:p>
      <w:pPr>
        <w:pStyle w:val="ListBullet"/>
      </w:pPr>
      <w:r>
        <w:rPr>
          <w:i w:val="0"/>
          <w:color w:val="000000"/>
          <w:sz w:val="24"/>
        </w:rPr>
        <w:t>Chạy hồi quy logistic đa biến với outcome = RLLA (đo bằng SCARED hoặc RCADS), predictors = các thang gia đình, học tập, peer.</w:t>
      </w:r>
    </w:p>
    <w:p>
      <w:pPr>
        <w:pStyle w:val="ListBullet"/>
      </w:pPr>
      <w:r>
        <w:rPr>
          <w:i w:val="0"/>
          <w:color w:val="000000"/>
          <w:sz w:val="24"/>
        </w:rPr>
        <w:t>Báo cáo AOR + KTC 95% + p cho từng yếu tố sau khi kiểm soát giới, lớp, học lực, KT gia đình.</w:t>
      </w:r>
    </w:p>
    <w:p>
      <w:pPr>
        <w:pStyle w:val="ListBullet"/>
      </w:pPr>
      <w:r>
        <w:rPr>
          <w:i w:val="0"/>
          <w:color w:val="000000"/>
          <w:sz w:val="24"/>
        </w:rPr>
        <w:t>Cân nhắc Structural Equation Modeling (SEM) để mô hình hóa quan hệ giữa các nhóm yếu tố.</w:t>
      </w:r>
    </w:p>
    <w:p>
      <w:r>
        <w:rPr>
          <w:b/>
          <w:color w:val="0070C0"/>
          <w:sz w:val="28"/>
        </w:rPr>
        <w:t>CÂU TRẢ LỜI</w:t>
      </w:r>
    </w:p>
    <w:p>
      <w:r>
        <w:rPr>
          <w:b/>
          <w:i w:val="0"/>
          <w:color w:val="0070C0"/>
          <w:sz w:val="24"/>
        </w:rPr>
        <w:t>Tóm tắt:</w:t>
      </w:r>
    </w:p>
    <w:p>
      <w:pPr>
        <w:pStyle w:val="ListBullet"/>
      </w:pPr>
      <w:r>
        <w:rPr>
          <w:i w:val="0"/>
          <w:color w:val="0070C0"/>
          <w:sz w:val="24"/>
        </w:rPr>
        <w:t>Câu bình luận của thầy đã ĐÚNG Ý nhưng có thể mạnh hơn — em đề xuất 2 phiên bản A (ngắn) và B (chi tiết) ở mục 1.</w:t>
      </w:r>
    </w:p>
    <w:p>
      <w:pPr>
        <w:pStyle w:val="ListBullet"/>
      </w:pPr>
      <w:r>
        <w:rPr>
          <w:i w:val="0"/>
          <w:color w:val="0070C0"/>
          <w:sz w:val="24"/>
        </w:rPr>
        <w:t>Phản biện đầy đủ: 5 nhóm hạn chế phương pháp (B1 thiếu thống kê suy luận, B2 mẫu thuận tiện, B3 công cụ cũ, B4 không nhóm chứng, B5 phân tích gia đình nông).</w:t>
      </w:r>
    </w:p>
    <w:p>
      <w:pPr>
        <w:pStyle w:val="ListBullet"/>
      </w:pPr>
      <w:r>
        <w:rPr>
          <w:i w:val="0"/>
          <w:color w:val="0070C0"/>
          <w:sz w:val="24"/>
        </w:rPr>
        <w:t>Vấn đề CHUNG ở các NC VN giai đoạn 2015–2020: dừng lại ở mô tả % thô; không có p, OR, AOR, KTC 95% — đây là khoảng cách lớn so với chuẩn STROBE/CONSORT quốc tế.</w:t>
      </w:r>
    </w:p>
    <w:p>
      <w:pPr>
        <w:pStyle w:val="ListBullet"/>
      </w:pPr>
      <w:r>
        <w:rPr>
          <w:i w:val="0"/>
          <w:color w:val="0070C0"/>
          <w:sz w:val="24"/>
        </w:rPr>
        <w:t>Khuyến nghị thầy khi trích Nguyễn Thị Vân: chỉ dùng để mô tả 4 nhóm yếu tố như khung khái niệm, KHÔNG dùng làm bằng chứng định lượng cho cường độ tác động của từng yếu tố.</w:t>
      </w:r>
    </w:p>
    <w:p>
      <w:r>
        <w:rPr>
          <w:b/>
          <w:color w:val="1F497D"/>
          <w:sz w:val="28"/>
        </w:rPr>
        <w:t>Phụ lục — Tài liệu tham khảo</w:t>
      </w:r>
    </w:p>
    <w:p>
      <w:r>
        <w:rPr>
          <w:b w:val="0"/>
          <w:i/>
          <w:color w:val="000000"/>
          <w:sz w:val="22"/>
        </w:rPr>
        <w:t>1. Nguyễn Thị Vân. (2018). Mức độ lo âu của học sinh trung học phổ thông thành phố Hồ Chí Minh. Tạp chí Khoa học - Khoa học Giáo dục, ĐHSP TPHCM. [VN004 trong DB.]</w:t>
      </w:r>
    </w:p>
    <w:p>
      <w:r>
        <w:rPr>
          <w:b w:val="0"/>
          <w:i/>
          <w:color w:val="000000"/>
          <w:sz w:val="22"/>
        </w:rPr>
        <w:t>2. Nguyễn Thị Vân. (2019). Lo âu học đường của học sinh trung học phổ thông tại TP.HCM. Luận án tiến sĩ, Đại học Sư phạm TP.HCM. [Nguồn liên quan, có thể là báo cáo dài.]</w:t>
      </w:r>
    </w:p>
    <w:p>
      <w:r>
        <w:rPr>
          <w:b w:val="0"/>
          <w:i/>
          <w:color w:val="000000"/>
          <w:sz w:val="22"/>
        </w:rPr>
        <w:t>3. Qiu, Z., Guo, Y., Wang, J., &amp; Zhang, H. (2022). Associations of parenting style and resilience with depression and anxiety among Chinese high school students. Frontiers in Public Health, 10, 989125. https://doi.org/10.3389/fpubh.2022.989125 [Đối chiếu phương pháp.]</w:t>
      </w:r>
    </w:p>
    <w:p>
      <w:r>
        <w:rPr>
          <w:b w:val="0"/>
          <w:i/>
          <w:color w:val="000000"/>
          <w:sz w:val="22"/>
        </w:rPr>
        <w:t>4. von Elm, E., Altman, D. G., Egger, M., Pocock, S. J., Gøtzsche, P. C., &amp; Vandenbroucke, J. P. (2007). The Strengthening the Reporting of Observational Studies in Epidemiology (STROBE) statement. Annals of Internal Medicine, 147(8), 573–577. https://doi.org/10.7326/0003-4819-147-8-200710160-00010</w:t>
      </w:r>
    </w:p>
    <w:p>
      <w:r>
        <w:rPr>
          <w:b w:val="0"/>
          <w:i/>
          <w:color w:val="000000"/>
          <w:sz w:val="22"/>
        </w:rPr>
        <w:t>5. Spielberger, C. D. (1983). Manual for the State-Trait Anxiety Inventory (Form Y). Palo Alto, CA: Consulting Psychologists Press. [Bộ STAI gốc.]</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