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Bình luận chi tiết Trần Thị Mỵ Lương &amp; Đặng Đức Anh (2020) — VN006</w:t>
      </w:r>
    </w:p>
    <w:p>
      <w:r>
        <w:rPr>
          <w:b/>
          <w:color w:val="1F497D"/>
          <w:sz w:val="28"/>
        </w:rPr>
        <w:t>— Rối loạn lo âu của học sinh trường THPT Chuyên —</w:t>
      </w:r>
    </w:p>
    <w:p>
      <w:r>
        <w:rPr>
          <w:b/>
          <w:color w:val="1F497D"/>
          <w:sz w:val="28"/>
        </w:rPr>
        <w:t>Câu hỏi của thầy</w:t>
      </w:r>
    </w:p>
    <w:p>
      <w:r>
        <w:rPr>
          <w:b w:val="0"/>
          <w:i w:val="0"/>
          <w:color w:val="0070C0"/>
          <w:sz w:val="24"/>
        </w:rPr>
        <w:t>Em cho thầy bình luận chi tiết về Trần Thị Mỹ Lương với bài Rối loạn lo âu của HS trường THPT chuyên nhé.</w:t>
      </w:r>
    </w:p>
    <w:p>
      <w:r>
        <w:rPr>
          <w:b/>
          <w:color w:val="1F497D"/>
          <w:sz w:val="28"/>
        </w:rPr>
        <w:t>Bối cảnh</w:t>
      </w:r>
    </w:p>
    <w:p>
      <w:r>
        <w:rPr>
          <w:b w:val="0"/>
          <w:i w:val="0"/>
          <w:color w:val="000000"/>
          <w:sz w:val="24"/>
        </w:rPr>
        <w:t>Bài VN006 trong corpus: Trần Thị Mỵ Lương &amp; Đặng Đức Anh (2020). "Rối loạn lo âu ở học sinh trung học phổ thông [Chuyên]". Tạp chí Khoa học — Trường Đại học Thủ đô Hà Nội, Số 40/2020, trang 122–131. Tác giả chính: Học viện Phụ nữ Việt Nam. Email: Hoangthongtinnguvan@gmail.com.</w:t>
      </w:r>
    </w:p>
    <w:p>
      <w:r>
        <w:rPr>
          <w:b w:val="0"/>
          <w:i w:val="0"/>
          <w:color w:val="000000"/>
          <w:sz w:val="24"/>
        </w:rPr>
        <w:t>Mẫu: 540 HS (5 lớp/khối × 3 khối lớp 10–11–12) trong tổng 1.457 HS toàn trường — chọn mẫu ngẫu nhiên phân tầng. Sàng lọc → 77 HS có RLLA (14,2 %). 33,5 % nam + 66,5 % nữ. Công cụ: DASS-42 + phỏng vấn sâu.</w:t>
      </w:r>
    </w:p>
    <w:p>
      <w:r>
        <w:rPr>
          <w:b/>
          <w:color w:val="1F497D"/>
          <w:sz w:val="28"/>
        </w:rPr>
        <w:t>1. ĐIỂM MẠNH đáng ghi nhận</w:t>
      </w:r>
    </w:p>
    <w:p>
      <w:pPr>
        <w:pStyle w:val="ListBullet"/>
      </w:pPr>
      <w:r>
        <w:rPr>
          <w:i w:val="0"/>
          <w:color w:val="000000"/>
          <w:sz w:val="24"/>
        </w:rPr>
        <w:t>Một trong số RẤT ÍT NC VN chuyên về HS TRƯỜNG CHUYÊN — nhóm đặc thù áp lực cao mà y văn quốc tế gọi là "perfectionism trap".</w:t>
      </w:r>
    </w:p>
    <w:p>
      <w:pPr>
        <w:pStyle w:val="ListBullet"/>
      </w:pPr>
      <w:r>
        <w:rPr>
          <w:i w:val="0"/>
          <w:color w:val="000000"/>
          <w:sz w:val="24"/>
        </w:rPr>
        <w:t>Phân tầng theo khối lớp 10/11/12 → phát hiện đặc sắc: KHỐI 11 cao nhất (48,1 %) &gt; khối 10 (31,1 %) &gt; khối 12 (20,8 %) — TRÁI giả thuyết "khối 12 thi ĐH áp lực nhất".</w:t>
      </w:r>
    </w:p>
    <w:p>
      <w:pPr>
        <w:pStyle w:val="ListBullet"/>
      </w:pPr>
      <w:r>
        <w:rPr>
          <w:i w:val="0"/>
          <w:color w:val="000000"/>
          <w:sz w:val="24"/>
        </w:rPr>
        <w:t>Lý giải sâu sắc của tác giả: khối 11 chịu áp lực ĐA CHIỀU (chọn ngành/khối thi/định hướng nghề), khối 12 đã ổn định lựa chọn → áp lực giảm tự nhiên.</w:t>
      </w:r>
    </w:p>
    <w:p>
      <w:pPr>
        <w:pStyle w:val="ListBullet"/>
      </w:pPr>
      <w:r>
        <w:rPr>
          <w:i w:val="0"/>
          <w:color w:val="000000"/>
          <w:sz w:val="24"/>
        </w:rPr>
        <w:t>Kết hợp định lượng + phỏng vấn định tính. Trích phỏng vấn nổi bật: "Em là HS Chuyên mà mấy cái đó cũng không làm được, em thấy tệ quá!" — minh họa "perfectionism trap".</w:t>
      </w:r>
    </w:p>
    <w:p>
      <w:pPr>
        <w:pStyle w:val="ListBullet"/>
      </w:pPr>
      <w:r>
        <w:rPr>
          <w:i w:val="0"/>
          <w:color w:val="000000"/>
          <w:sz w:val="24"/>
        </w:rPr>
        <w:t>Dùng DASS-42 (full version 42 mục) thay vì chỉ DASS-21 → thêm chi tiết về phân biệt mức độ.</w:t>
      </w:r>
    </w:p>
    <w:p>
      <w:pPr>
        <w:pStyle w:val="ListBullet"/>
      </w:pPr>
      <w:r>
        <w:rPr>
          <w:i w:val="0"/>
          <w:color w:val="000000"/>
          <w:sz w:val="24"/>
        </w:rPr>
        <w:t>Lấy mẫu NGẪU NHIÊN PHÂN TẦNG (stratified random sampling) — chuẩn hơn nhiều so với "convenient" của VN014 Hoàng Trung Học.</w:t>
      </w:r>
    </w:p>
    <w:p>
      <w:r>
        <w:rPr>
          <w:b/>
          <w:color w:val="1F497D"/>
          <w:sz w:val="28"/>
        </w:rPr>
        <w:t>2. HẠN CHẾ PHƯƠNG PHÁP</w:t>
      </w:r>
    </w:p>
    <w:p>
      <w:r>
        <w:rPr>
          <w:b/>
          <w:color w:val="1F497D"/>
          <w:sz w:val="24"/>
        </w:rPr>
        <w:t>2.1. KHÔNG nêu địa bàn cụ thể (lỗi nghiêm trọng)</w:t>
      </w:r>
    </w:p>
    <w:p>
      <w:r>
        <w:rPr>
          <w:b/>
          <w:i w:val="0"/>
          <w:color w:val="000000"/>
          <w:sz w:val="24"/>
        </w:rPr>
        <w:t>Bài chỉ ghi "trường THPT Chuyên" — KHÔNG NÊU TÊN TRƯỜNG + TỈNH. Điều này:</w:t>
      </w:r>
    </w:p>
    <w:p>
      <w:pPr>
        <w:pStyle w:val="ListBullet"/>
      </w:pPr>
      <w:r>
        <w:rPr>
          <w:i w:val="0"/>
          <w:color w:val="000000"/>
          <w:sz w:val="24"/>
        </w:rPr>
        <w:t>Vi phạm chuẩn STROBE 2007 (Strengthening the Reporting of Observational Studies in Epidemiology) — yêu cầu Item 5: "describe the setting, locations, and relevant dates".</w:t>
      </w:r>
    </w:p>
    <w:p>
      <w:pPr>
        <w:pStyle w:val="ListBullet"/>
      </w:pPr>
      <w:r>
        <w:rPr>
          <w:i w:val="0"/>
          <w:color w:val="000000"/>
          <w:sz w:val="24"/>
        </w:rPr>
        <w:t>Không thể replicate hoặc đối chiếu địa lý.</w:t>
      </w:r>
    </w:p>
    <w:p>
      <w:pPr>
        <w:pStyle w:val="ListBullet"/>
      </w:pPr>
      <w:r>
        <w:rPr>
          <w:i w:val="0"/>
          <w:color w:val="000000"/>
          <w:sz w:val="24"/>
        </w:rPr>
        <w:t>Không biết là trường chuyên Bắc/Trung/Nam, miền núi/đồng bằng, đô thị/nông thôn — các yếu tố có thể ảnh hưởng tỷ lệ.</w:t>
      </w:r>
    </w:p>
    <w:p>
      <w:r>
        <w:rPr>
          <w:b w:val="0"/>
          <w:i/>
          <w:color w:val="000000"/>
          <w:sz w:val="24"/>
        </w:rPr>
        <w:t>Manh mối em đoán từ nội dung: trường có ký túc xá, HS từ huyện về thành phố tỉnh, quy mô vừa (1.457 HS) — KHÔNG phải Hà Nội-Amsterdam (~2.500), KHTN (~700), Lê Hồng Phong TPHCM (~3.000). Có thể là một trường chuyên cấp tỉnh ở Bắc Bộ (gần Học viện Phụ nữ VN nơi tác giả công tác).</w:t>
      </w:r>
    </w:p>
    <w:p>
      <w:r>
        <w:rPr>
          <w:b/>
          <w:color w:val="1F497D"/>
          <w:sz w:val="24"/>
        </w:rPr>
        <w:t>2.2. KHÔNG nêu cutoff DASS-42 cụ thể</w:t>
      </w:r>
    </w:p>
    <w:p>
      <w:pPr>
        <w:pStyle w:val="ListBullet"/>
      </w:pPr>
      <w:r>
        <w:rPr>
          <w:i w:val="0"/>
          <w:color w:val="000000"/>
          <w:sz w:val="24"/>
        </w:rPr>
        <w:t>Tác giả không công bố ngưỡng cắt cho phân loại "RLLA" / "không RLLA" / phân tầng nhẹ–vừa–nặng–rất nặng.</w:t>
      </w:r>
    </w:p>
    <w:p>
      <w:pPr>
        <w:pStyle w:val="ListBullet"/>
      </w:pPr>
      <w:r>
        <w:rPr>
          <w:i w:val="0"/>
          <w:color w:val="000000"/>
          <w:sz w:val="24"/>
        </w:rPr>
        <w:t>DASS-42 có nhiều cutoff khác nhau giữa các phiên bản: ngưỡng Lovibond gốc khác bản Việt hóa khác bản Trung Quốc.</w:t>
      </w:r>
    </w:p>
    <w:p>
      <w:pPr>
        <w:pStyle w:val="ListBullet"/>
      </w:pPr>
      <w:r>
        <w:rPr>
          <w:i w:val="0"/>
          <w:color w:val="000000"/>
          <w:sz w:val="24"/>
        </w:rPr>
        <w:t>Hậu quả: tỷ lệ 14,2 % không thể so trực tiếp với NC dùng DASS-21 hoặc GAD-7.</w:t>
      </w:r>
    </w:p>
    <w:p>
      <w:r>
        <w:rPr>
          <w:b/>
          <w:color w:val="1F497D"/>
          <w:sz w:val="24"/>
        </w:rPr>
        <w:t>2.3. Lệch giới (66,5 % nữ)</w:t>
      </w:r>
    </w:p>
    <w:p>
      <w:pPr>
        <w:pStyle w:val="ListBullet"/>
      </w:pPr>
      <w:r>
        <w:rPr>
          <w:i w:val="0"/>
          <w:color w:val="000000"/>
          <w:sz w:val="24"/>
        </w:rPr>
        <w:t>Nữ chiếm 66,5 % → vượt xa tỷ lệ trường chuyên thông thường (50/50 hoặc nhẹ về nữ ~55 %).</w:t>
      </w:r>
    </w:p>
    <w:p>
      <w:pPr>
        <w:pStyle w:val="ListBullet"/>
      </w:pPr>
      <w:r>
        <w:rPr>
          <w:i w:val="0"/>
          <w:color w:val="000000"/>
          <w:sz w:val="24"/>
        </w:rPr>
        <w:t>Nữ thường có tỷ lệ lo âu cao hơn nam 1,5–2 lần (Hoa 2024 VN, Puyat 2025 Philippines, NSCH 2020 US).</w:t>
      </w:r>
    </w:p>
    <w:p>
      <w:pPr>
        <w:pStyle w:val="ListBullet"/>
      </w:pPr>
      <w:r>
        <w:rPr>
          <w:i w:val="0"/>
          <w:color w:val="000000"/>
          <w:sz w:val="24"/>
        </w:rPr>
        <w:t>Vậy tỷ lệ RLLA tổng 14,2 % BỊ PHÓNG ĐẠI do mẫu lệch giới — nếu balanced 50/50 thì tỷ lệ thực có thể ~ 11–12 %.</w:t>
      </w:r>
    </w:p>
    <w:p>
      <w:r>
        <w:rPr>
          <w:b/>
          <w:color w:val="1F497D"/>
          <w:sz w:val="24"/>
        </w:rPr>
        <w:t>2.4. Thiếu phân tích đa biến</w:t>
      </w:r>
    </w:p>
    <w:p>
      <w:pPr>
        <w:pStyle w:val="ListBullet"/>
      </w:pPr>
      <w:r>
        <w:rPr>
          <w:i w:val="0"/>
          <w:color w:val="000000"/>
          <w:sz w:val="24"/>
        </w:rPr>
        <w:t>Bài chỉ mô tả tỷ lệ % theo khối lớp — không hồi quy đa biến kiểm soát giới.</w:t>
      </w:r>
    </w:p>
    <w:p>
      <w:pPr>
        <w:pStyle w:val="ListBullet"/>
      </w:pPr>
      <w:r>
        <w:rPr>
          <w:i w:val="0"/>
          <w:color w:val="000000"/>
          <w:sz w:val="24"/>
        </w:rPr>
        <w:t>KHÔNG có hệ số thống kê suy luận: p-value, OR, AOR, χ², t-test giữa các khối.</w:t>
      </w:r>
    </w:p>
    <w:p>
      <w:pPr>
        <w:pStyle w:val="ListBullet"/>
      </w:pPr>
      <w:r>
        <w:rPr>
          <w:i w:val="0"/>
          <w:color w:val="000000"/>
          <w:sz w:val="24"/>
        </w:rPr>
        <w:t>Phát hiện "khối 11 &gt; khối 12" có ý nghĩa thống kê hay chỉ do ngẫu nhiên — không kiểm chứng được.</w:t>
      </w:r>
    </w:p>
    <w:p>
      <w:r>
        <w:rPr>
          <w:b/>
          <w:color w:val="1F497D"/>
          <w:sz w:val="24"/>
        </w:rPr>
        <w:t>2.5. Thiếu nhóm chứng</w:t>
      </w:r>
    </w:p>
    <w:p>
      <w:pPr>
        <w:pStyle w:val="ListBullet"/>
      </w:pPr>
      <w:r>
        <w:rPr>
          <w:i w:val="0"/>
          <w:color w:val="000000"/>
          <w:sz w:val="24"/>
        </w:rPr>
        <w:t>Không so sánh với HS không-chuyên cùng khối → không xác định được "chuyên" có CAO HƠN "không chuyên" không.</w:t>
      </w:r>
    </w:p>
    <w:p>
      <w:pPr>
        <w:pStyle w:val="ListBullet"/>
      </w:pPr>
      <w:r>
        <w:rPr>
          <w:i w:val="0"/>
          <w:color w:val="000000"/>
          <w:sz w:val="24"/>
        </w:rPr>
        <w:t>Giả thuyết "perfectionism trap" của trường chuyên cần nhóm chứng để confirm.</w:t>
      </w:r>
    </w:p>
    <w:p>
      <w:r>
        <w:rPr>
          <w:b/>
          <w:color w:val="1F497D"/>
          <w:sz w:val="24"/>
        </w:rPr>
        <w:t>2.6. Chỉ 1 trường</w:t>
      </w:r>
    </w:p>
    <w:p>
      <w:pPr>
        <w:pStyle w:val="ListBullet"/>
      </w:pPr>
      <w:r>
        <w:rPr>
          <w:i w:val="0"/>
          <w:color w:val="000000"/>
          <w:sz w:val="24"/>
        </w:rPr>
        <w:t>Không thể ngoại suy ra toàn bộ HS chuyên VN — văn hóa trường, vùng miền, chính sách trường có thể tạo khác biệt.</w:t>
      </w:r>
    </w:p>
    <w:p>
      <w:pPr>
        <w:pStyle w:val="ListBullet"/>
      </w:pPr>
      <w:r>
        <w:rPr>
          <w:i w:val="0"/>
          <w:color w:val="000000"/>
          <w:sz w:val="24"/>
        </w:rPr>
        <w:t>Cần multi-site study với ít nhất 5–10 trường chuyên đại diện 3 miền để confirm.</w:t>
      </w:r>
    </w:p>
    <w:p>
      <w:r>
        <w:rPr>
          <w:b/>
          <w:color w:val="1F497D"/>
          <w:sz w:val="28"/>
        </w:rPr>
        <w:t>3. ĐIỂM ĐẶC SẮC PHẢN BIỆN</w:t>
      </w:r>
    </w:p>
    <w:p>
      <w:r>
        <w:rPr>
          <w:b/>
          <w:i w:val="0"/>
          <w:color w:val="000000"/>
          <w:sz w:val="24"/>
        </w:rPr>
        <w:t>Phát hiện KHỐI 11 &gt; KHỐI 12 LO ÂU là đóng góp QUAN TRỌNG — ngược giả định phổ biến rằng "thi ĐH gây lo âu nhất". Hàm ý cho can thiệp:</w:t>
      </w:r>
    </w:p>
    <w:p>
      <w:pPr>
        <w:pStyle w:val="ListBullet"/>
      </w:pPr>
      <w:r>
        <w:rPr>
          <w:i w:val="0"/>
          <w:color w:val="000000"/>
          <w:sz w:val="24"/>
        </w:rPr>
        <w:t>Nên ưu tiên CHƯƠNG TRÌNH PHÒNG NGỪA cho khối 11 trường chuyên, không chỉ khối 12.</w:t>
      </w:r>
    </w:p>
    <w:p>
      <w:pPr>
        <w:pStyle w:val="ListBullet"/>
      </w:pPr>
      <w:r>
        <w:rPr>
          <w:i w:val="0"/>
          <w:color w:val="000000"/>
          <w:sz w:val="24"/>
        </w:rPr>
        <w:t>Khối 11 đối mặt áp lực TUYỂN SINH SỚM (chọn khối thi), TÌM HƯỚNG NGHỀ, ÁP LỰC HỌC SINH GIỎI QUỐC GIA — đa chiều hơn khối 12 (chỉ thi tốt nghiệp + ĐH).</w:t>
      </w:r>
    </w:p>
    <w:p>
      <w:pPr>
        <w:pStyle w:val="ListBullet"/>
      </w:pPr>
      <w:r>
        <w:rPr>
          <w:i w:val="0"/>
          <w:color w:val="000000"/>
          <w:sz w:val="24"/>
        </w:rPr>
        <w:t>Cần multi-site study confirm trước khi đưa vào chính sách quốc gia.</w:t>
      </w:r>
    </w:p>
    <w:p>
      <w:r>
        <w:rPr>
          <w:b/>
          <w:color w:val="1F497D"/>
          <w:sz w:val="28"/>
        </w:rPr>
        <w:t>4. SO SÁNH với các bài VN khác trong corpus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Bài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Cỡ mẫu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Lấy mẫu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Tỷ lệ lo âu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Phân tích đa biến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VN006 Trần Thị Mỵ Lương 2020 (chuyên)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540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Ngẫu nhiên phân tầng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14,2% (DASS-42)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VN001 Hoa 2024 (Hà Nội)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3.910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Đa giai đoạn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40,6% (GAD-7)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Có (logistic, AOR + KTC)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VN014 Hoàng Trung Học 2025 (6 tỉnh)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8.389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Convenient random (mâu thuẫn)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41,5%→25,4% (DASS-21)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Có (R²=0,190)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VN004 Nguyễn Thị Vân 2020 (TPHCM)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90 sâu/558 sàng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Thuận tiện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15-18,5% (STAI)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Không rõ ràng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VN002 V-NAMHS 2022 (38 tỉnh)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5.996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Đại diện QG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21,7% SKTT (DSM-5)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Có (chuẩn IBM)</w:t>
            </w:r>
          </w:p>
        </w:tc>
      </w:tr>
    </w:tbl>
    <w:p>
      <w:r>
        <w:rPr>
          <w:b w:val="0"/>
          <w:i w:val="0"/>
          <w:color w:val="000000"/>
          <w:sz w:val="24"/>
        </w:rPr>
      </w:r>
    </w:p>
    <w:p>
      <w:r>
        <w:rPr>
          <w:b w:val="0"/>
          <w:i/>
          <w:color w:val="000000"/>
          <w:sz w:val="24"/>
        </w:rPr>
        <w:t>Trần Thị Mỵ Lương xếp giữa: lấy mẫu chuẩn hơn VN014 và VN004, nhưng không có phân tích đa biến như VN001/VN002.</w:t>
      </w:r>
    </w:p>
    <w:p>
      <w:r>
        <w:rPr>
          <w:b/>
          <w:color w:val="0070C0"/>
          <w:sz w:val="28"/>
        </w:rPr>
        <w:t>CÂU TRẢ LỜI</w:t>
      </w:r>
    </w:p>
    <w:p>
      <w:r>
        <w:rPr>
          <w:b/>
          <w:i w:val="0"/>
          <w:color w:val="0070C0"/>
          <w:sz w:val="24"/>
        </w:rPr>
        <w:t>Đánh giá tổng: ⭐⭐⭐⭐ (4/5) — bài CÓ GIÁ TRỊ ĐẶC SẮC ở phát hiện khối 11 &gt; khối 12 và đề tài HS chuyên hiếm, nhưng có 6 hạn chế phương pháp đáng kể.</w:t>
      </w:r>
    </w:p>
    <w:p>
      <w:r>
        <w:rPr>
          <w:b/>
          <w:i w:val="0"/>
          <w:color w:val="0070C0"/>
          <w:sz w:val="24"/>
        </w:rPr>
        <w:t>Khuyến nghị cách trích vào báo cáo CTH:</w:t>
      </w:r>
    </w:p>
    <w:p>
      <w:pPr>
        <w:pStyle w:val="ListBullet"/>
      </w:pPr>
      <w:r>
        <w:rPr>
          <w:i w:val="0"/>
          <w:color w:val="0070C0"/>
          <w:sz w:val="24"/>
        </w:rPr>
        <w:t>NÊN: "Trần Thị Mỵ Lương &amp; Đặng Đức Anh (2020) khảo sát 540 HS một trường THPT Chuyên (địa bàn không nêu) bằng DASS-42 — phát hiện 14,2 % có biểu hiện RLLA, với khối 11 chiếm tỷ lệ cao nhất (48,1 %), trái với giả định khối 12 thi ĐH áp lực nhất."</w:t>
      </w:r>
    </w:p>
    <w:p>
      <w:pPr>
        <w:pStyle w:val="ListBullet"/>
      </w:pPr>
      <w:r>
        <w:rPr>
          <w:i w:val="0"/>
          <w:color w:val="0070C0"/>
          <w:sz w:val="24"/>
        </w:rPr>
        <w:t>NÊN ghi rõ HẠN CHẾ: "Bài KHÔNG nêu tên trường/tỉnh, KHÔNG cutoff DASS-42 cụ thể, mẫu nữ chiếm 66,5 % (lệch giới), thiếu phân tích đa biến — kết quả khó ngoại suy ra HS chuyên VN."</w:t>
      </w:r>
    </w:p>
    <w:p>
      <w:pPr>
        <w:pStyle w:val="ListBullet"/>
      </w:pPr>
      <w:r>
        <w:rPr>
          <w:i w:val="0"/>
          <w:color w:val="0070C0"/>
          <w:sz w:val="24"/>
        </w:rPr>
        <w:t>KHÔNG NÊN: dùng tỷ lệ 14,2 % làm bằng chứng chính cho "tỷ lệ RLLA HS chuyên VN" — chỉ là dữ liệu một trường.</w:t>
      </w:r>
    </w:p>
    <w:p>
      <w:pPr>
        <w:pStyle w:val="ListBullet"/>
      </w:pPr>
      <w:r>
        <w:rPr>
          <w:i w:val="0"/>
          <w:color w:val="0070C0"/>
          <w:sz w:val="24"/>
        </w:rPr>
        <w:t>NÊN dùng: phát hiện "khối 11 cao nhất" làm GIẢ THUYẾT cho NC tiếp theo, kết hợp với QT067 Pascoe (academic stress) để xây dựng can thiệp.</w:t>
      </w:r>
    </w:p>
    <w:p>
      <w:r>
        <w:rPr>
          <w:b/>
          <w:i w:val="0"/>
          <w:color w:val="0070C0"/>
          <w:sz w:val="24"/>
        </w:rPr>
        <w:t>Đề xuất phản biện ngắn cho báo cáo CTH:</w:t>
      </w:r>
    </w:p>
    <w:p>
      <w:r>
        <w:rPr>
          <w:b w:val="0"/>
          <w:i/>
          <w:color w:val="0070C0"/>
          <w:sz w:val="24"/>
        </w:rPr>
        <w:t>"Trần Thị Mỵ Lương &amp; Đặng Đức Anh (2020) đóng góp quan trọng khi phát hiện khối 11 (48,1 %) có tỷ lệ RLLA cao hơn khối 12 (20,8 %) ở HS một trường THPT Chuyên, gợi ý "perfectionism trap" và áp lực đa chiều của khối 11 trong môi trường chuyên. Tuy nhiên bài có nhiều hạn chế phương pháp luận: (1) không nêu tên trường/tỉnh cụ thể, (2) không công bố cutoff DASS-42, (3) mẫu lệch giới (nữ 66,5 %), (4) không có phân tích đa biến hay kiểm định χ² giữa các khối, (5) thiếu nhóm chứng HS không-chuyên, và (6) chỉ 1 trường nên hạn chế tính ngoại suy. Khuyến nghị nhân rộng multi-site với cỡ mẫu lớn hơn, có nhóm chứng và phân tích hồi quy đa biến."</w:t>
      </w:r>
    </w:p>
    <w:p>
      <w:r>
        <w:rPr>
          <w:b/>
          <w:color w:val="1F497D"/>
          <w:sz w:val="28"/>
        </w:rPr>
        <w:t>Phụ lục — Tài liệu tham khảo</w:t>
      </w:r>
    </w:p>
    <w:p>
      <w:r>
        <w:rPr>
          <w:b w:val="0"/>
          <w:i/>
          <w:color w:val="000000"/>
          <w:sz w:val="22"/>
        </w:rPr>
        <w:t>1. Trần Thị Mỵ Lương &amp; Đặng Đức Anh. (2020). Rối loạn lo âu ở học sinh trung học phổ thông [Chuyên]. Tạp chí Khoa học — Trường Đại học Thủ đô Hà Nội, Số 40/2020, 122–131. [VN006 trong DB.]</w:t>
      </w:r>
    </w:p>
    <w:p>
      <w:r>
        <w:rPr>
          <w:b w:val="0"/>
          <w:i/>
          <w:color w:val="000000"/>
          <w:sz w:val="22"/>
        </w:rPr>
        <w:t>2. von Elm, E., et al. (2007). The Strengthening the Reporting of Observational Studies in Epidemiology (STROBE) statement. Annals of Internal Medicine, 147(8), 573–577. https://doi.org/10.7326/0003-4819-147-8-200710160-00010</w:t>
      </w:r>
    </w:p>
    <w:p>
      <w:r>
        <w:rPr>
          <w:b w:val="0"/>
          <w:i/>
          <w:color w:val="000000"/>
          <w:sz w:val="22"/>
        </w:rPr>
        <w:t>3. Lovibond, S. H., &amp; Lovibond, P. F. (1995). Manual for the Depression Anxiety Stress Scales (2nd ed.). Psychology Foundation of Australia.</w:t>
      </w:r>
    </w:p>
    <w:p>
      <w:r>
        <w:rPr>
          <w:b w:val="0"/>
          <w:i/>
          <w:color w:val="000000"/>
          <w:sz w:val="22"/>
        </w:rPr>
        <w:t>4. Pascoe, M. C., Hetrick, S. E., &amp; Parker, A. G. (2020). The impact of stress on students in secondary school and higher education. International Journal of Adolescence and Youth, 25(1), 104–112. https://doi.org/10.1080/02673843.2019.1596823 [QT067 trong DB.]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