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497D"/>
          <w:sz w:val="28"/>
        </w:rPr>
        <w:t>Phản biện chi tiết VN004 Nguyễn Thị Vân</w:t>
      </w:r>
    </w:p>
    <w:p>
      <w:r>
        <w:rPr>
          <w:b/>
          <w:color w:val="1F497D"/>
          <w:sz w:val="26"/>
        </w:rPr>
        <w:t>— Yếu tố "bản thân học sinh" trong Mức độ lo âu HS THPT TPHCM —</w:t>
      </w:r>
    </w:p>
    <w:p>
      <w:r>
        <w:rPr>
          <w:b/>
          <w:color w:val="1F497D"/>
          <w:sz w:val="26"/>
        </w:rPr>
        <w:t>Câu hỏi của thầy</w:t>
      </w:r>
    </w:p>
    <w:p>
      <w:r>
        <w:rPr>
          <w:color w:val="0070C0"/>
          <w:sz w:val="24"/>
        </w:rPr>
        <w:t>Em phản biện cho thầy Nguyễn Thị Vân với yếu tố bản thân học sinh nhé.</w:t>
      </w:r>
    </w:p>
    <w:p>
      <w:r>
        <w:rPr>
          <w:b/>
          <w:color w:val="1F497D"/>
          <w:sz w:val="26"/>
        </w:rPr>
        <w:t>1. Bối cảnh — VN004 Nguyễn Thị Vân (2020)</w:t>
      </w:r>
    </w:p>
    <w:p>
      <w:pPr>
        <w:jc w:val="both"/>
      </w:pPr>
      <w:r>
        <w:rPr>
          <w:b w:val="0"/>
          <w:i w:val="0"/>
          <w:color w:val="000000"/>
          <w:sz w:val="26"/>
        </w:rPr>
        <w:t>Bài VN004 trong cơ sở dữ liệu dự án — Nguyễn Thị Vân (2018; bản mở rộng 2019/2020) "Mức độ lo âu của học sinh trung học phổ thông thành phố Hồ Chí Minh" — là một trong số ít nghiên cứu Việt Nam tập trung vào YẾU TỐ ẢNH HƯỞNG đến lo âu học sinh (không chỉ tỷ lệ).</w:t>
      </w:r>
    </w:p>
    <w:p>
      <w:pPr>
        <w:jc w:val="both"/>
      </w:pPr>
      <w:r>
        <w:rPr>
          <w:b/>
          <w:i w:val="0"/>
          <w:color w:val="000000"/>
          <w:sz w:val="26"/>
        </w:rPr>
        <w:t>Phương pháp:</w:t>
      </w:r>
    </w:p>
    <w:p>
      <w:pPr>
        <w:pStyle w:val="ListBullet"/>
      </w:pPr>
      <w:r>
        <w:rPr>
          <w:i w:val="0"/>
          <w:color w:val="000000"/>
          <w:sz w:val="24"/>
        </w:rPr>
        <w:t>Cắt ngang 2 pha — sàng lọc 558 HS THPT bằng STAI Spielberger (bản Việt hóa Nguyễn Công Khanh, 2000) → 90 HS phỏng vấn sâu.</w:t>
      </w:r>
    </w:p>
    <w:p>
      <w:pPr>
        <w:pStyle w:val="ListBullet"/>
      </w:pPr>
      <w:r>
        <w:rPr>
          <w:i w:val="0"/>
          <w:color w:val="000000"/>
          <w:sz w:val="24"/>
        </w:rPr>
        <w:t>Mẫu thuận tiện, 4 trường nội + ngoại thành TPHCM.</w:t>
      </w:r>
    </w:p>
    <w:p>
      <w:pPr>
        <w:pStyle w:val="ListBullet"/>
      </w:pPr>
      <w:r>
        <w:rPr>
          <w:i w:val="0"/>
          <w:color w:val="000000"/>
          <w:sz w:val="24"/>
        </w:rPr>
        <w:t>Tỷ lệ RLLA: 15–18,5% (STAI ≥ ngưỡng).</w:t>
      </w:r>
    </w:p>
    <w:p>
      <w:pPr>
        <w:pStyle w:val="ListBullet"/>
      </w:pPr>
      <w:r>
        <w:rPr>
          <w:i w:val="0"/>
          <w:color w:val="000000"/>
          <w:sz w:val="24"/>
        </w:rPr>
        <w:t>Bốn nhóm yếu tố ảnh hưởng: học tập / gia đình / quan hệ xã hội / BẢN THÂN HS.</w:t>
      </w:r>
    </w:p>
    <w:p>
      <w:r>
        <w:rPr>
          <w:b/>
          <w:color w:val="1F497D"/>
          <w:sz w:val="26"/>
        </w:rPr>
        <w:t>2. Số liệu VN004 về yếu tố "bản thân học sinh"</w:t>
      </w:r>
    </w:p>
    <w:tbl>
      <w:tblPr>
        <w:tblStyle w:val="LightGrid-Accent1"/>
        <w:tblW w:type="auto" w:w="0"/>
        <w:tblLook w:firstColumn="1" w:firstRow="1" w:lastColumn="0" w:lastRow="0" w:noHBand="0" w:noVBand="1" w:val="04A0"/>
      </w:tblPr>
      <w:tblGrid>
        <w:gridCol w:w="4844"/>
        <w:gridCol w:w="4844"/>
      </w:tblGrid>
      <w:tr>
        <w:tc>
          <w:tcPr>
            <w:tcW w:type="dxa" w:w="4844"/>
          </w:tcPr>
          <w:p>
            <w:r>
              <w:rPr>
                <w:rFonts w:ascii="Times New Roman" w:hAnsi="Times New Roman"/>
                <w:sz w:val="20"/>
              </w:rPr>
              <w:t>Chỉ số</w:t>
            </w:r>
          </w:p>
        </w:tc>
        <w:tc>
          <w:tcPr>
            <w:tcW w:type="dxa" w:w="4844"/>
          </w:tcPr>
          <w:p>
            <w:r>
              <w:rPr>
                <w:rFonts w:ascii="Times New Roman" w:hAnsi="Times New Roman"/>
                <w:sz w:val="20"/>
              </w:rPr>
              <w:t>Giá trị trong VN004</w:t>
            </w:r>
          </w:p>
        </w:tc>
      </w:tr>
      <w:tr>
        <w:tc>
          <w:tcPr>
            <w:tcW w:type="dxa" w:w="4844"/>
          </w:tcPr>
          <w:p>
            <w:r>
              <w:rPr>
                <w:rFonts w:ascii="Times New Roman" w:hAnsi="Times New Roman"/>
                <w:sz w:val="20"/>
              </w:rPr>
              <w:t>Hệ số tương quan r (nhóm yếu tố bản thân HS)</w:t>
            </w:r>
          </w:p>
        </w:tc>
        <w:tc>
          <w:tcPr>
            <w:tcW w:type="dxa" w:w="4844"/>
          </w:tcPr>
          <w:p>
            <w:r>
              <w:rPr>
                <w:rFonts w:ascii="Times New Roman" w:hAnsi="Times New Roman"/>
                <w:sz w:val="20"/>
              </w:rPr>
              <w:t>0,42</w:t>
            </w:r>
          </w:p>
        </w:tc>
      </w:tr>
      <w:tr>
        <w:tc>
          <w:tcPr>
            <w:tcW w:type="dxa" w:w="4844"/>
          </w:tcPr>
          <w:p>
            <w:r>
              <w:rPr>
                <w:rFonts w:ascii="Times New Roman" w:hAnsi="Times New Roman"/>
                <w:sz w:val="20"/>
              </w:rPr>
              <w:t>Top 1 biểu hiện: ít giao tiếp chia sẻ</w:t>
            </w:r>
          </w:p>
        </w:tc>
        <w:tc>
          <w:tcPr>
            <w:tcW w:type="dxa" w:w="4844"/>
          </w:tcPr>
          <w:p>
            <w:r>
              <w:rPr>
                <w:rFonts w:ascii="Times New Roman" w:hAnsi="Times New Roman"/>
                <w:sz w:val="20"/>
              </w:rPr>
              <w:t>X̄ = 0,91</w:t>
            </w:r>
          </w:p>
        </w:tc>
      </w:tr>
      <w:tr>
        <w:tc>
          <w:tcPr>
            <w:tcW w:type="dxa" w:w="4844"/>
          </w:tcPr>
          <w:p>
            <w:r>
              <w:rPr>
                <w:rFonts w:ascii="Times New Roman" w:hAnsi="Times New Roman"/>
                <w:sz w:val="20"/>
              </w:rPr>
              <w:t>Top 2: thất vọng</w:t>
            </w:r>
          </w:p>
        </w:tc>
        <w:tc>
          <w:tcPr>
            <w:tcW w:type="dxa" w:w="4844"/>
          </w:tcPr>
          <w:p>
            <w:r>
              <w:rPr>
                <w:rFonts w:ascii="Times New Roman" w:hAnsi="Times New Roman"/>
                <w:sz w:val="20"/>
              </w:rPr>
              <w:t>X̄ = 0,90</w:t>
            </w:r>
          </w:p>
        </w:tc>
      </w:tr>
      <w:tr>
        <w:tc>
          <w:tcPr>
            <w:tcW w:type="dxa" w:w="4844"/>
          </w:tcPr>
          <w:p>
            <w:r>
              <w:rPr>
                <w:rFonts w:ascii="Times New Roman" w:hAnsi="Times New Roman"/>
                <w:sz w:val="20"/>
              </w:rPr>
              <w:t>Top 3: lo sợ khó khăn</w:t>
            </w:r>
          </w:p>
        </w:tc>
        <w:tc>
          <w:tcPr>
            <w:tcW w:type="dxa" w:w="4844"/>
          </w:tcPr>
          <w:p>
            <w:r>
              <w:rPr>
                <w:rFonts w:ascii="Times New Roman" w:hAnsi="Times New Roman"/>
                <w:sz w:val="20"/>
              </w:rPr>
              <w:t>X̄ = 0,88</w:t>
            </w:r>
          </w:p>
        </w:tc>
      </w:tr>
      <w:tr>
        <w:tc>
          <w:tcPr>
            <w:tcW w:type="dxa" w:w="4844"/>
          </w:tcPr>
          <w:p>
            <w:r>
              <w:rPr>
                <w:rFonts w:ascii="Times New Roman" w:hAnsi="Times New Roman"/>
                <w:sz w:val="20"/>
              </w:rPr>
              <w:t>"Tỷ lệ giải thích" tác giả công bố</w:t>
            </w:r>
          </w:p>
        </w:tc>
        <w:tc>
          <w:tcPr>
            <w:tcW w:type="dxa" w:w="4844"/>
          </w:tcPr>
          <w:p>
            <w:r>
              <w:rPr>
                <w:rFonts w:ascii="Times New Roman" w:hAnsi="Times New Roman"/>
                <w:sz w:val="20"/>
              </w:rPr>
              <w:t>85,4%</w:t>
            </w:r>
          </w:p>
        </w:tc>
      </w:tr>
    </w:tbl>
    <w:p>
      <w:pPr>
        <w:ind w:firstLine="567"/>
        <w:jc w:val="both"/>
      </w:pPr>
      <w:r>
        <w:rPr>
          <w:b w:val="0"/>
          <w:i w:val="0"/>
          <w:color w:val="000000"/>
          <w:sz w:val="26"/>
        </w:rPr>
      </w:r>
    </w:p>
    <w:p>
      <w:pPr>
        <w:jc w:val="both"/>
      </w:pPr>
      <w:r>
        <w:rPr>
          <w:b w:val="0"/>
          <w:i w:val="0"/>
          <w:color w:val="000000"/>
          <w:sz w:val="26"/>
        </w:rPr>
        <w:t>Đặc điểm đáng chú ý: tác giả công bố nhóm "bản thân HS" giải thích 85,4% — con số này CAO BẤT THƯỜNG so với hệ số tương quan r = 0,42.</w:t>
      </w:r>
    </w:p>
    <w:p>
      <w:r>
        <w:rPr>
          <w:b/>
          <w:color w:val="1F497D"/>
          <w:sz w:val="26"/>
        </w:rPr>
        <w:t>3. Phản biện sáu điểm yếu phương pháp luận</w:t>
      </w:r>
    </w:p>
    <w:p>
      <w:r>
        <w:rPr>
          <w:b/>
          <w:color w:val="000000"/>
          <w:sz w:val="26"/>
        </w:rPr>
        <w:t>3.1. Mâu thuẫn nội tại giữa r = 0,42 và "85,4% giải thích"</w:t>
      </w:r>
    </w:p>
    <w:p>
      <w:pPr>
        <w:jc w:val="both"/>
      </w:pPr>
      <w:r>
        <w:rPr>
          <w:b w:val="0"/>
          <w:i w:val="0"/>
          <w:color w:val="000000"/>
          <w:sz w:val="26"/>
        </w:rPr>
        <w:t>Theo lý thuyết thống kê cơ bản, hệ số xác định r² (variance explained) = bình phương của hệ số tương quan r. Áp dụng cho r = 0,42: r² = 0,176 = 17,6%. Nói cách khác, mối tương quan tuyến tính giữa nhóm yếu tố bản thân và lo âu chỉ giải thích 17,6% phương sai — KHÔNG PHẢI 85,4% như tác giả công bố.</w:t>
      </w:r>
    </w:p>
    <w:p>
      <w:pPr>
        <w:jc w:val="both"/>
      </w:pPr>
      <w:r>
        <w:rPr>
          <w:b/>
          <w:i w:val="0"/>
          <w:color w:val="000000"/>
          <w:sz w:val="26"/>
        </w:rPr>
        <w:t>Khả năng giải thích cho con số 85,4%:</w:t>
      </w:r>
    </w:p>
    <w:p>
      <w:pPr>
        <w:pStyle w:val="ListBullet"/>
      </w:pPr>
      <w:r>
        <w:rPr>
          <w:i w:val="0"/>
          <w:color w:val="000000"/>
          <w:sz w:val="24"/>
        </w:rPr>
        <w:t>Khả năng 1: 85,4% là R² của HỒI QUY ĐA BIẾN với nhiều biến predictor cùng nhóm "bản thân" — KHÔNG phải r² của một biến đơn. Nếu vậy, tác giả cần báo cáo MA TRẬN HỒI QUY và β chuẩn hóa cho từng biến — không có trong bản gốc.</w:t>
      </w:r>
    </w:p>
    <w:p>
      <w:pPr>
        <w:pStyle w:val="ListBullet"/>
      </w:pPr>
      <w:r>
        <w:rPr>
          <w:i w:val="0"/>
          <w:color w:val="000000"/>
          <w:sz w:val="24"/>
        </w:rPr>
        <w:t>Khả năng 2: 85,4% là TỶ LỆ % học sinh có biểu hiện thuộc nhóm "bản thân" (không phải variance explained). Nếu vậy, tác giả đã NHẦM thuật ngữ — % HS biểu hiện ≠ % phương sai giải thích.</w:t>
      </w:r>
    </w:p>
    <w:p>
      <w:pPr>
        <w:pStyle w:val="ListBullet"/>
      </w:pPr>
      <w:r>
        <w:rPr>
          <w:i w:val="0"/>
          <w:color w:val="000000"/>
          <w:sz w:val="24"/>
        </w:rPr>
        <w:t>Khả năng 3: 85,4% là phản hồi ĐỊNH TÍNH từ phỏng vấn sâu — không có ý nghĩa thống kê. Nếu vậy, không nên trình bày như con số định lượng.</w:t>
      </w:r>
    </w:p>
    <w:p>
      <w:pPr>
        <w:jc w:val="both"/>
      </w:pPr>
      <w:r>
        <w:rPr>
          <w:b w:val="0"/>
          <w:i w:val="0"/>
          <w:color w:val="000000"/>
          <w:sz w:val="26"/>
        </w:rPr>
        <w:t>Bất kể khả năng nào, con số 85,4% trong báo cáo của tác giả cần được làm rõ trước khi trích dẫn. Việc bài KHÔNG CÔNG BỐ phương pháp tính cụ thể là điểm yếu PHƯƠNG PHÁP LUẬN nghiêm trọng — vi phạm nguyên tắc minh bạch của Strengthening the Reporting of Observational Studies in Epidemiology (STROBE; von Elm và cộng sự, 2007).</w:t>
      </w:r>
    </w:p>
    <w:p>
      <w:r>
        <w:rPr>
          <w:b/>
          <w:color w:val="000000"/>
          <w:sz w:val="26"/>
        </w:rPr>
        <w:t>3.2. Top 3 biểu hiện chỉ là TẦN SUẤT, không phải predictor</w:t>
      </w:r>
    </w:p>
    <w:p>
      <w:pPr>
        <w:jc w:val="both"/>
      </w:pPr>
      <w:r>
        <w:rPr>
          <w:b w:val="0"/>
          <w:i w:val="0"/>
          <w:color w:val="000000"/>
          <w:sz w:val="26"/>
        </w:rPr>
        <w:t>Ba biểu hiện hàng đầu — "ít giao tiếp chia sẻ" (X̄ = 0,91), "thất vọng" (X̄ = 0,90), "lo sợ khó khăn" (X̄ = 0,88) — chỉ là điểm trung bình theo thang điểm tự thiết kế của tác giả (không rõ thang gì, có thể Likert 0–1 hoặc 0–4). Không có hệ số tương quan r riêng cho từng biểu hiện, không có p-value, không có KTC 95%.</w:t>
      </w:r>
    </w:p>
    <w:p>
      <w:pPr>
        <w:jc w:val="both"/>
      </w:pPr>
      <w:r>
        <w:rPr>
          <w:b w:val="0"/>
          <w:i w:val="0"/>
          <w:color w:val="000000"/>
          <w:sz w:val="26"/>
        </w:rPr>
        <w:t>Hậu quả: người đọc KHÔNG BIẾT biểu hiện nào TÁC ĐỘNG MẠNH NHẤT đến lo âu — chỉ biết biểu hiện nào XUẤT HIỆN NHIỀU NHẤT. Hai thông tin này hoàn toàn KHÁC nhau về ý nghĩa khoa học. Phát hiện "ít giao tiếp chia sẻ" có thể chỉ là biểu hiện THƯỜNG GẶP ở học sinh THPT VN nói chung, không nhất thiết gây ra hoặc dự báo lo âu.</w:t>
      </w:r>
    </w:p>
    <w:p>
      <w:r>
        <w:rPr>
          <w:b/>
          <w:color w:val="000000"/>
          <w:sz w:val="26"/>
        </w:rPr>
        <w:t>3.3. Thiếu phân tích đa biến và kiểm soát yếu tố nhiễu</w:t>
      </w:r>
    </w:p>
    <w:p>
      <w:pPr>
        <w:jc w:val="both"/>
      </w:pPr>
      <w:r>
        <w:rPr>
          <w:b w:val="0"/>
          <w:i w:val="0"/>
          <w:color w:val="000000"/>
          <w:sz w:val="26"/>
        </w:rPr>
        <w:t>Với bốn nhóm yếu tố được xác định (học tập, gia đình, quan hệ xã hội, bản thân HS), một thiết kế nghiên cứu chuẩn cần thực hiện hồi quy đa biến hoặc mô hình SEM để KIỂM SOÁT đồng thời tác động của bốn nhóm. Nếu không, không thể xác định liệu yếu tố "bản thân" có còn tác động độc lập sau khi loại trừ ảnh hưởng của ba nhóm còn lại.</w:t>
      </w:r>
    </w:p>
    <w:p>
      <w:pPr>
        <w:jc w:val="both"/>
      </w:pPr>
      <w:r>
        <w:rPr>
          <w:b w:val="0"/>
          <w:i w:val="0"/>
          <w:color w:val="000000"/>
          <w:sz w:val="26"/>
        </w:rPr>
        <w:t>So sánh với chuẩn quốc tế: Qiu và cộng sự (2022) — QT009 trong cơ sở dữ liệu dự án — thực hiện hồi quy logistic đa biến trên 2.079 học sinh THCS Trung Quốc (tuổi trung bình 16,7), kiểm soát đồng thời giới, lớp, kinh tế gia đình, và các yếu tố tâm lý xã hội. Kết quả: nuôi dạy tích cực giảm nguy cơ trầm cảm 70% (OR = 0,30) và lo âu 68% (OR = 0,32) SAU KHI kiểm soát các yếu tố khác. Nguyễn Thị Vân (2020) không có phân tích tương đương.</w:t>
      </w:r>
    </w:p>
    <w:p>
      <w:r>
        <w:rPr>
          <w:b/>
          <w:color w:val="000000"/>
          <w:sz w:val="26"/>
        </w:rPr>
        <w:t>3.4. Thang đo STAI bản Việt cũ — chưa cập nhật psychometric</w:t>
      </w:r>
    </w:p>
    <w:p>
      <w:pPr>
        <w:jc w:val="both"/>
      </w:pPr>
      <w:r>
        <w:rPr>
          <w:b w:val="0"/>
          <w:i w:val="0"/>
          <w:color w:val="000000"/>
          <w:sz w:val="26"/>
        </w:rPr>
        <w:t>Tác giả sử dụng STAI (State-Trait Anxiety Inventory; Spielberger, 1983) bản Việt hóa của Nguyễn Công Khanh (2000) — đã 20 năm không cập nhật psychometric đến thời điểm nghiên cứu. STAI cũng đo lo âu trạng thái + lo âu đặc điểm — KHÔNG phải chẩn đoán RLLA theo DSM-5/ICD-11. Bài dùng từ "rối loạn lo âu" là KHÔNG CHÍNH XÁC về thuật ngữ chẩn đoán.</w:t>
      </w:r>
    </w:p>
    <w:p>
      <w:pPr>
        <w:jc w:val="both"/>
      </w:pPr>
      <w:r>
        <w:rPr>
          <w:b w:val="0"/>
          <w:i w:val="0"/>
          <w:color w:val="000000"/>
          <w:sz w:val="26"/>
        </w:rPr>
        <w:t>Đề xuất thay thế: dùng RCADS (Chorpita và cộng sự, 2000) — bản đã được Nguyễn Cao Minh (2012) chuẩn hóa cho học sinh Việt Nam, hoặc DASS-21 (Lovibond &amp; Lovibond, 1995) — bản đã được Tran, Tran và Fisher (2013) chuẩn hóa cho phụ nữ Bắc Việt Nam. Đối với lòng tự trọng, đề xuất dùng Rosenberg Self-Esteem Scale (Rosenberg, 1965) — chuẩn vàng quốc tế.</w:t>
      </w:r>
    </w:p>
    <w:p>
      <w:r>
        <w:rPr>
          <w:b/>
          <w:color w:val="000000"/>
          <w:sz w:val="26"/>
        </w:rPr>
        <w:t>3.5. Mẫu thuận tiện — không đại diện</w:t>
      </w:r>
    </w:p>
    <w:p>
      <w:pPr>
        <w:jc w:val="both"/>
      </w:pPr>
      <w:r>
        <w:rPr>
          <w:b w:val="0"/>
          <w:i w:val="0"/>
          <w:color w:val="000000"/>
          <w:sz w:val="26"/>
        </w:rPr>
        <w:t>90 học sinh phỏng vấn sâu được chọn theo mẫu thuận tiện (convenience sampling) từ 4 trường nội + ngoại thành TPHCM. Phương pháp này KHÔNG ngẫu nhiên, KHÔNG đại diện cho học sinh THPT TPHCM nói chung — chứ chưa nói đến học sinh THPT Việt Nam toàn quốc. Hậu quả: phát hiện không thể ngoại suy sang dân số rộng hơn.</w:t>
      </w:r>
    </w:p>
    <w:p>
      <w:r>
        <w:rPr>
          <w:b/>
          <w:color w:val="000000"/>
          <w:sz w:val="26"/>
        </w:rPr>
        <w:t>3.6. Thiếu nhóm chứng</w:t>
      </w:r>
    </w:p>
    <w:p>
      <w:pPr>
        <w:jc w:val="both"/>
      </w:pPr>
      <w:r>
        <w:rPr>
          <w:b w:val="0"/>
          <w:i w:val="0"/>
          <w:color w:val="000000"/>
          <w:sz w:val="26"/>
        </w:rPr>
        <w:t>Bài không có nhóm chứng (học sinh KHÔNG có biểu hiện lo âu) để so sánh. Các biểu hiện được liệt kê trong nhóm "bản thân HS" (ít giao tiếp, thất vọng, lo sợ khó khăn) có thể CHỈ LÀ biểu hiện chung của tuổi vị thành niên Việt Nam — không nhất thiết là yếu tố ĐẶC THÙ của nhóm có lo âu.</w:t>
      </w:r>
    </w:p>
    <w:p>
      <w:r>
        <w:rPr>
          <w:b/>
          <w:color w:val="1F497D"/>
          <w:sz w:val="26"/>
        </w:rPr>
        <w:t>4. So sánh với chuẩn quốc tế về yếu tố "bản thân HS"</w:t>
      </w:r>
    </w:p>
    <w:p>
      <w:pPr>
        <w:ind w:firstLine="567"/>
        <w:jc w:val="both"/>
      </w:pPr>
      <w:r>
        <w:rPr>
          <w:b w:val="0"/>
          <w:i w:val="0"/>
          <w:color w:val="000000"/>
          <w:sz w:val="26"/>
        </w:rPr>
        <w:t>Trong y văn quốc tế, yếu tố "bản thân học sinh" thường được phân thành các thành phần CỤ THỂ với thang đo chuẩn — không phải nhóm yếu tố tổng quát như VN004:</w:t>
      </w:r>
    </w:p>
    <w:tbl>
      <w:tblPr>
        <w:tblStyle w:val="LightGrid-Accent1"/>
        <w:tblW w:type="auto" w:w="0"/>
        <w:tblLook w:firstColumn="1" w:firstRow="1" w:lastColumn="0" w:lastRow="0" w:noHBand="0" w:noVBand="1" w:val="04A0"/>
      </w:tblPr>
      <w:tblGrid>
        <w:gridCol w:w="3230"/>
        <w:gridCol w:w="3230"/>
        <w:gridCol w:w="3230"/>
      </w:tblGrid>
      <w:tr>
        <w:tc>
          <w:tcPr>
            <w:tcW w:type="dxa" w:w="3230"/>
          </w:tcPr>
          <w:p>
            <w:r>
              <w:rPr>
                <w:rFonts w:ascii="Times New Roman" w:hAnsi="Times New Roman"/>
                <w:sz w:val="20"/>
              </w:rPr>
              <w:t>Thành phần</w:t>
            </w:r>
          </w:p>
        </w:tc>
        <w:tc>
          <w:tcPr>
            <w:tcW w:type="dxa" w:w="3230"/>
          </w:tcPr>
          <w:p>
            <w:r>
              <w:rPr>
                <w:rFonts w:ascii="Times New Roman" w:hAnsi="Times New Roman"/>
                <w:sz w:val="20"/>
              </w:rPr>
              <w:t>Thang đo chuẩn</w:t>
            </w:r>
          </w:p>
        </w:tc>
        <w:tc>
          <w:tcPr>
            <w:tcW w:type="dxa" w:w="3230"/>
          </w:tcPr>
          <w:p>
            <w:r>
              <w:rPr>
                <w:rFonts w:ascii="Times New Roman" w:hAnsi="Times New Roman"/>
                <w:sz w:val="20"/>
              </w:rPr>
              <w:t>Tham chiếu chính</w:t>
            </w:r>
          </w:p>
        </w:tc>
      </w:tr>
      <w:tr>
        <w:tc>
          <w:tcPr>
            <w:tcW w:type="dxa" w:w="3230"/>
          </w:tcPr>
          <w:p>
            <w:r>
              <w:rPr>
                <w:rFonts w:ascii="Times New Roman" w:hAnsi="Times New Roman"/>
                <w:sz w:val="20"/>
              </w:rPr>
              <w:t>Lòng tự trọng</w:t>
            </w:r>
          </w:p>
        </w:tc>
        <w:tc>
          <w:tcPr>
            <w:tcW w:type="dxa" w:w="3230"/>
          </w:tcPr>
          <w:p>
            <w:r>
              <w:rPr>
                <w:rFonts w:ascii="Times New Roman" w:hAnsi="Times New Roman"/>
                <w:sz w:val="20"/>
              </w:rPr>
              <w:t>Rosenberg Self-Esteem Scale (RSES)</w:t>
            </w:r>
          </w:p>
        </w:tc>
        <w:tc>
          <w:tcPr>
            <w:tcW w:type="dxa" w:w="3230"/>
          </w:tcPr>
          <w:p>
            <w:r>
              <w:rPr>
                <w:rFonts w:ascii="Times New Roman" w:hAnsi="Times New Roman"/>
                <w:sz w:val="20"/>
              </w:rPr>
              <w:t>Rosenberg (1965)</w:t>
            </w:r>
          </w:p>
        </w:tc>
      </w:tr>
      <w:tr>
        <w:tc>
          <w:tcPr>
            <w:tcW w:type="dxa" w:w="3230"/>
          </w:tcPr>
          <w:p>
            <w:r>
              <w:rPr>
                <w:rFonts w:ascii="Times New Roman" w:hAnsi="Times New Roman"/>
                <w:sz w:val="20"/>
              </w:rPr>
              <w:t>Tự khái niệm</w:t>
            </w:r>
          </w:p>
        </w:tc>
        <w:tc>
          <w:tcPr>
            <w:tcW w:type="dxa" w:w="3230"/>
          </w:tcPr>
          <w:p>
            <w:r>
              <w:rPr>
                <w:rFonts w:ascii="Times New Roman" w:hAnsi="Times New Roman"/>
                <w:sz w:val="20"/>
              </w:rPr>
              <w:t>Self-Concept Scale (SCS)</w:t>
            </w:r>
          </w:p>
        </w:tc>
        <w:tc>
          <w:tcPr>
            <w:tcW w:type="dxa" w:w="3230"/>
          </w:tcPr>
          <w:p>
            <w:r>
              <w:rPr>
                <w:rFonts w:ascii="Times New Roman" w:hAnsi="Times New Roman"/>
                <w:sz w:val="20"/>
              </w:rPr>
              <w:t>Marsh &amp; Shavelson (1985)</w:t>
            </w:r>
          </w:p>
        </w:tc>
      </w:tr>
      <w:tr>
        <w:tc>
          <w:tcPr>
            <w:tcW w:type="dxa" w:w="3230"/>
          </w:tcPr>
          <w:p>
            <w:r>
              <w:rPr>
                <w:rFonts w:ascii="Times New Roman" w:hAnsi="Times New Roman"/>
                <w:sz w:val="20"/>
              </w:rPr>
              <w:t>Tự hiệu quả</w:t>
            </w:r>
          </w:p>
        </w:tc>
        <w:tc>
          <w:tcPr>
            <w:tcW w:type="dxa" w:w="3230"/>
          </w:tcPr>
          <w:p>
            <w:r>
              <w:rPr>
                <w:rFonts w:ascii="Times New Roman" w:hAnsi="Times New Roman"/>
                <w:sz w:val="20"/>
              </w:rPr>
              <w:t>General Self-Efficacy Scale (GSE)</w:t>
            </w:r>
          </w:p>
        </w:tc>
        <w:tc>
          <w:tcPr>
            <w:tcW w:type="dxa" w:w="3230"/>
          </w:tcPr>
          <w:p>
            <w:r>
              <w:rPr>
                <w:rFonts w:ascii="Times New Roman" w:hAnsi="Times New Roman"/>
                <w:sz w:val="20"/>
              </w:rPr>
              <w:t>Schwarzer &amp; Jerusalem (1995)</w:t>
            </w:r>
          </w:p>
        </w:tc>
      </w:tr>
      <w:tr>
        <w:tc>
          <w:tcPr>
            <w:tcW w:type="dxa" w:w="3230"/>
          </w:tcPr>
          <w:p>
            <w:r>
              <w:rPr>
                <w:rFonts w:ascii="Times New Roman" w:hAnsi="Times New Roman"/>
                <w:sz w:val="20"/>
              </w:rPr>
              <w:t>Resilience</w:t>
            </w:r>
          </w:p>
        </w:tc>
        <w:tc>
          <w:tcPr>
            <w:tcW w:type="dxa" w:w="3230"/>
          </w:tcPr>
          <w:p>
            <w:r>
              <w:rPr>
                <w:rFonts w:ascii="Times New Roman" w:hAnsi="Times New Roman"/>
                <w:sz w:val="20"/>
              </w:rPr>
              <w:t>Connor-Davidson Resilience Scale (CD-RISC)</w:t>
            </w:r>
          </w:p>
        </w:tc>
        <w:tc>
          <w:tcPr>
            <w:tcW w:type="dxa" w:w="3230"/>
          </w:tcPr>
          <w:p>
            <w:r>
              <w:rPr>
                <w:rFonts w:ascii="Times New Roman" w:hAnsi="Times New Roman"/>
                <w:sz w:val="20"/>
              </w:rPr>
              <w:t>Connor &amp; Davidson (2003)</w:t>
            </w:r>
          </w:p>
        </w:tc>
      </w:tr>
      <w:tr>
        <w:tc>
          <w:tcPr>
            <w:tcW w:type="dxa" w:w="3230"/>
          </w:tcPr>
          <w:p>
            <w:r>
              <w:rPr>
                <w:rFonts w:ascii="Times New Roman" w:hAnsi="Times New Roman"/>
                <w:sz w:val="20"/>
              </w:rPr>
              <w:t>Tính cách lo âu</w:t>
            </w:r>
          </w:p>
        </w:tc>
        <w:tc>
          <w:tcPr>
            <w:tcW w:type="dxa" w:w="3230"/>
          </w:tcPr>
          <w:p>
            <w:r>
              <w:rPr>
                <w:rFonts w:ascii="Times New Roman" w:hAnsi="Times New Roman"/>
                <w:sz w:val="20"/>
              </w:rPr>
              <w:t>Big Five Inventory — Neuroticism</w:t>
            </w:r>
          </w:p>
        </w:tc>
        <w:tc>
          <w:tcPr>
            <w:tcW w:type="dxa" w:w="3230"/>
          </w:tcPr>
          <w:p>
            <w:r>
              <w:rPr>
                <w:rFonts w:ascii="Times New Roman" w:hAnsi="Times New Roman"/>
                <w:sz w:val="20"/>
              </w:rPr>
              <w:t>John &amp; Srivastava (1999)</w:t>
            </w:r>
          </w:p>
        </w:tc>
      </w:tr>
    </w:tbl>
    <w:p>
      <w:pPr>
        <w:ind w:firstLine="567"/>
        <w:jc w:val="both"/>
      </w:pPr>
      <w:r>
        <w:rPr>
          <w:b w:val="0"/>
          <w:i w:val="0"/>
          <w:color w:val="000000"/>
          <w:sz w:val="26"/>
        </w:rPr>
      </w:r>
    </w:p>
    <w:p>
      <w:pPr>
        <w:jc w:val="both"/>
      </w:pPr>
      <w:r>
        <w:rPr>
          <w:b w:val="0"/>
          <w:i w:val="0"/>
          <w:color w:val="000000"/>
          <w:sz w:val="26"/>
        </w:rPr>
        <w:t>So với khung chuẩn này, VN004 đo "yếu tố bản thân" bằng bảng hỏi tự thiết kế với 3 biểu hiện chung — KHÔNG đo lòng tự trọng, tự hiệu quả, hay resilience theo thang chuẩn. Hậu quả: kết quả KHÔNG so sánh trực tiếp được với y văn quốc tế. Đề xuất nghiên cứu tiếp theo nên SỬ DỤNG các thang đo chuẩn trên — đặc biệt RSES và CD-RISC — để cho phép so sánh.</w:t>
      </w:r>
    </w:p>
    <w:p>
      <w:r>
        <w:rPr>
          <w:b/>
          <w:color w:val="1F497D"/>
          <w:sz w:val="26"/>
        </w:rPr>
        <w:t>5. CÂU TRẢ LỜI</w:t>
      </w:r>
    </w:p>
    <w:p>
      <w:r>
        <w:rPr>
          <w:b/>
          <w:color w:val="0070C0"/>
          <w:sz w:val="24"/>
        </w:rPr>
        <w:t>Tóm gọn về phản biện VN004 — yếu tố bản thân HS:</w:t>
      </w:r>
    </w:p>
    <w:p>
      <w:pPr>
        <w:pStyle w:val="ListBullet"/>
      </w:pPr>
      <w:r>
        <w:rPr>
          <w:color w:val="0070C0"/>
          <w:sz w:val="24"/>
        </w:rPr>
        <w:t>Mâu thuẫn nội tại NGHIÊM TRỌNG NHẤT: r = 0,42 (r² = 17,6%) nhưng tác giả công bố nhóm "bản thân HS" giải thích 85,4% — chênh lệch 5 lần. Cần làm rõ phương pháp tính trước khi trích dẫn.</w:t>
      </w:r>
    </w:p>
    <w:p>
      <w:pPr>
        <w:pStyle w:val="ListBullet"/>
      </w:pPr>
      <w:r>
        <w:rPr>
          <w:color w:val="0070C0"/>
          <w:sz w:val="24"/>
        </w:rPr>
        <w:t>Top 3 biểu hiện ("ít giao tiếp chia sẻ", "thất vọng", "lo sợ khó khăn") chỉ là TẦN SUẤT, không phải PREDICTOR. Không có r riêng, không có p-value, không có KTC 95% cho từng biểu hiện.</w:t>
      </w:r>
    </w:p>
    <w:p>
      <w:pPr>
        <w:pStyle w:val="ListBullet"/>
      </w:pPr>
      <w:r>
        <w:rPr>
          <w:color w:val="0070C0"/>
          <w:sz w:val="24"/>
        </w:rPr>
        <w:t>Thiếu phân tích đa biến để kiểm soát đồng thời 4 nhóm yếu tố — không thể khẳng định "bản thân HS" tác động độc lập.</w:t>
      </w:r>
    </w:p>
    <w:p>
      <w:pPr>
        <w:pStyle w:val="ListBullet"/>
      </w:pPr>
      <w:r>
        <w:rPr>
          <w:color w:val="0070C0"/>
          <w:sz w:val="24"/>
        </w:rPr>
        <w:t>Thang STAI bản Việt 2000 đã 20 năm không cập nhật; STAI đo lo âu trạng thái + đặc điểm, KHÔNG chẩn đoán RLLA theo DSM-5.</w:t>
      </w:r>
    </w:p>
    <w:p>
      <w:pPr>
        <w:pStyle w:val="ListBullet"/>
      </w:pPr>
      <w:r>
        <w:rPr>
          <w:color w:val="0070C0"/>
          <w:sz w:val="24"/>
        </w:rPr>
        <w:t>Mẫu thuận tiện 90 HS từ 4 trường TPHCM — không đại diện.</w:t>
      </w:r>
    </w:p>
    <w:p>
      <w:pPr>
        <w:pStyle w:val="ListBullet"/>
      </w:pPr>
      <w:r>
        <w:rPr>
          <w:color w:val="0070C0"/>
          <w:sz w:val="24"/>
        </w:rPr>
        <w:t>Thiếu nhóm chứng — không phân biệt được biểu hiện đặc thù của nhóm có lo âu.</w:t>
      </w:r>
    </w:p>
    <w:p>
      <w:r>
        <w:rPr>
          <w:b/>
          <w:color w:val="0070C0"/>
          <w:sz w:val="24"/>
        </w:rPr>
        <w:t>Cách trích vào báo cáo CTH:</w:t>
      </w:r>
    </w:p>
    <w:p>
      <w:r>
        <w:rPr>
          <w:i/>
          <w:color w:val="0070C0"/>
          <w:sz w:val="24"/>
        </w:rPr>
        <w:t>"Nguyễn Thị Vân (2020) khảo sát 90 học sinh THPT TPHCM bằng bảng hỏi tự thiết kế và STAI bản Việt — xác định bốn nhóm yếu tố ảnh hưởng đến lo âu, trong đó nhóm bản thân học sinh có hệ số tương quan r = 0,42 với mức lo âu. Tuy nhiên, bài có một số hạn chế phương pháp luận: con số "85,4% giải thích" công bố trong báo cáo cần được làm rõ về cách tính (không khớp với r² = 0,176 từ r = 0,42); chưa thực hiện phân tích đa biến để kiểm soát yếu tố nhiễu; thang STAI bản 2000 chưa cập nhật psychometric; mẫu thuận tiện không đại diện. Khuyến nghị các nghiên cứu tiếp theo sử dụng thang đo chuẩn quốc tế cho từng thành phần của yếu tố "bản thân" — Rosenberg Self-Esteem Scale (Rosenberg, 1965) cho lòng tự trọng; Connor-Davidson Resilience Scale (Connor &amp; Davidson, 2003) cho resilience — kết hợp với phân tích hồi quy đa biến hoặc mô hình SEM."</w:t>
      </w:r>
    </w:p>
    <w:p>
      <w:r>
        <w:rPr>
          <w:b/>
          <w:color w:val="0070C0"/>
          <w:sz w:val="24"/>
        </w:rPr>
        <w:t>Khuyến nghị thầy:</w:t>
      </w:r>
    </w:p>
    <w:p>
      <w:pPr>
        <w:pStyle w:val="ListBullet"/>
      </w:pPr>
      <w:r>
        <w:rPr>
          <w:color w:val="0070C0"/>
          <w:sz w:val="24"/>
        </w:rPr>
        <w:t>KHI TRÍCH VN004 vào tổng quan: chỉ dùng để minh họa BỐN NHÓM YẾU TỐ ảnh hưởng (khung khái niệm), KHÔNG dùng làm bằng chứng định lượng cho cường độ tác động.</w:t>
      </w:r>
    </w:p>
    <w:p>
      <w:pPr>
        <w:pStyle w:val="ListBullet"/>
      </w:pPr>
      <w:r>
        <w:rPr>
          <w:color w:val="0070C0"/>
          <w:sz w:val="24"/>
        </w:rPr>
        <w:t>KHÔNG sử dụng con số "85,4% giải thích" — không có cơ sở thống kê rõ ràng.</w:t>
      </w:r>
    </w:p>
    <w:p>
      <w:pPr>
        <w:pStyle w:val="ListBullet"/>
      </w:pPr>
      <w:r>
        <w:rPr>
          <w:color w:val="0070C0"/>
          <w:sz w:val="24"/>
        </w:rPr>
        <w:t>Khi xây dựng nghiên cứu của thầy: dùng RSES cho lòng tự trọng + thực hiện hồi quy đa biến hoặc SEM để kiểm soát yếu tố nhiễu.</w:t>
      </w:r>
    </w:p>
    <w:p>
      <w:r>
        <w:rPr>
          <w:b/>
          <w:color w:val="1F497D"/>
          <w:sz w:val="26"/>
        </w:rPr>
        <w:t>6. Phụ lục — Tài liệu tham khảo</w:t>
      </w:r>
    </w:p>
    <w:p>
      <w:pPr>
        <w:ind w:left="567" w:hanging="567"/>
        <w:jc w:val="both"/>
      </w:pPr>
      <w:r>
        <w:rPr>
          <w:sz w:val="24"/>
        </w:rPr>
        <w:t>Chorpita, B. F., Yim, L., Moffitt, C., Umemoto, L. A., &amp; Francis, S. E. (2000). Assessment of symptoms of DSM-IV anxiety and depression in children: A revised child anxiety and depression scale. Behaviour Research and Therapy, 38(8), 835–855. https://doi.org/10.1016/S0005-7967(99)00130-8</w:t>
      </w:r>
    </w:p>
    <w:p>
      <w:pPr>
        <w:ind w:left="567" w:hanging="567"/>
        <w:jc w:val="both"/>
      </w:pPr>
      <w:r>
        <w:rPr>
          <w:sz w:val="24"/>
        </w:rPr>
        <w:t>Connor, K. M., &amp; Davidson, J. R. T. (2003). Development of a new resilience scale: The Connor-Davidson Resilience Scale (CD-RISC). Depression and Anxiety, 18(2), 76–82. https://doi.org/10.1002/da.10113</w:t>
      </w:r>
    </w:p>
    <w:p>
      <w:pPr>
        <w:ind w:left="567" w:hanging="567"/>
        <w:jc w:val="both"/>
      </w:pPr>
      <w:r>
        <w:rPr>
          <w:sz w:val="24"/>
        </w:rPr>
        <w:t>Lovibond, S. H., &amp; Lovibond, P. F. (1995). Manual for the Depression Anxiety Stress Scales (2nd ed.). Sydney: Psychology Foundation of Australia.</w:t>
      </w:r>
    </w:p>
    <w:p>
      <w:pPr>
        <w:ind w:left="567" w:hanging="567"/>
        <w:jc w:val="both"/>
      </w:pPr>
      <w:r>
        <w:rPr>
          <w:sz w:val="24"/>
        </w:rPr>
        <w:t>Nguyễn, C. M. (2012). Chuẩn hóa thang đo Revised Children's Anxiety and Depression Scale cho học sinh Việt Nam.</w:t>
      </w:r>
    </w:p>
    <w:p>
      <w:pPr>
        <w:ind w:left="567" w:hanging="567"/>
        <w:jc w:val="both"/>
      </w:pPr>
      <w:r>
        <w:rPr>
          <w:sz w:val="24"/>
        </w:rPr>
        <w:t>Nguyễn, T. V. (2018/2020). Mức độ lo âu của học sinh trung học phổ thông thành phố Hồ Chí Minh. Tạp chí Khoa học – Khoa học Giáo dục, ĐHSP TP.HCM. [VN004 trong cơ sở dữ liệu dự án.]</w:t>
      </w:r>
    </w:p>
    <w:p>
      <w:pPr>
        <w:ind w:left="567" w:hanging="567"/>
        <w:jc w:val="both"/>
      </w:pPr>
      <w:r>
        <w:rPr>
          <w:sz w:val="24"/>
        </w:rPr>
        <w:t>Qiu, Z., Guo, Y., Wang, J., &amp; Zhang, H. (2022). Associations of parenting style and resilience with depression and anxiety among Chinese high school students. Frontiers in Public Health, 10, 989125. https://doi.org/10.3389/fpubh.2022.989125 [QT009 trong cơ sở dữ liệu dự án.]</w:t>
      </w:r>
    </w:p>
    <w:p>
      <w:pPr>
        <w:ind w:left="567" w:hanging="567"/>
        <w:jc w:val="both"/>
      </w:pPr>
      <w:r>
        <w:rPr>
          <w:sz w:val="24"/>
        </w:rPr>
        <w:t>Rosenberg, M. (1965). Society and the adolescent self-image. Princeton University Press.</w:t>
      </w:r>
    </w:p>
    <w:p>
      <w:pPr>
        <w:ind w:left="567" w:hanging="567"/>
        <w:jc w:val="both"/>
      </w:pPr>
      <w:r>
        <w:rPr>
          <w:sz w:val="24"/>
        </w:rPr>
        <w:t>Spielberger, C. D. (1983). Manual for the State-Trait Anxiety Inventory (Form Y). Palo Alto, CA: Consulting Psychologists Press.</w:t>
      </w:r>
    </w:p>
    <w:p>
      <w:pPr>
        <w:ind w:left="567" w:hanging="567"/>
        <w:jc w:val="both"/>
      </w:pPr>
      <w:r>
        <w:rPr>
          <w:sz w:val="24"/>
        </w:rPr>
        <w:t>Tran, T. D., Tran, T., &amp; Fisher, J. (2013). Validation of the depression anxiety stress scales (DASS) 21 as a screening instrument for depression and anxiety in a rural community-based cohort of northern Vietnamese women. BMC Psychiatry, 13, 24. https://doi.org/10.1186/1471-244X-13-24</w:t>
      </w:r>
    </w:p>
    <w:p>
      <w:pPr>
        <w:ind w:left="567" w:hanging="567"/>
        <w:jc w:val="both"/>
      </w:pPr>
      <w:r>
        <w:rPr>
          <w:sz w:val="24"/>
        </w:rPr>
        <w:t>von Elm, E., Altman, D. G., Egger, M., Pocock, S. J., Gøtzsche, P. C., &amp; Vandenbroucke, J. P. (2007). The Strengthening the Reporting of Observational Studies in Epidemiology (STROBE) statement. Annals of Internal Medicine, 147(8), 573–577. https://doi.org/10.7326/0003-4819-147-8-200710160-00010</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