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PHẢN BIỆN VN004 NGUYỄN THỊ VÂN (2020)</w:t>
        <w:br/>
        <w:t>KHÁI NIỆM "YẾU TỐ HỌC TẬP" CÓ RỘNG QUÁ KHÔNG?</w:t>
      </w:r>
    </w:p>
    <w:p>
      <w:pPr>
        <w:jc w:val="both"/>
      </w:pPr>
      <w:r>
        <w:rPr>
          <w:b w:val="0"/>
          <w:i w:val="0"/>
          <w:color w:val="000000"/>
          <w:sz w:val="24"/>
        </w:rPr>
      </w:r>
    </w:p>
    <w:p>
      <w:r>
        <w:rPr>
          <w:b/>
          <w:color w:val="1F497D"/>
          <w:sz w:val="26"/>
        </w:rPr>
        <w:t>Câu hỏi của thầy</w:t>
      </w:r>
    </w:p>
    <w:p>
      <w:pPr>
        <w:jc w:val="both"/>
      </w:pPr>
      <w:r>
        <w:rPr>
          <w:b w:val="0"/>
          <w:i/>
          <w:color w:val="0070C0"/>
          <w:sz w:val="24"/>
        </w:rPr>
        <w:t>Em kiểm tra bình luận thêm Nguyễn Thị Vân về yếu tố học tập nhé, theo kiểu bình luận về NC của HT Học (hôm qua chúng ta làm ấy).</w:t>
      </w:r>
    </w:p>
    <w:p>
      <w:r>
        <w:rPr>
          <w:b/>
          <w:color w:val="1F497D"/>
          <w:sz w:val="26"/>
        </w:rPr>
        <w:t>1. Khái niệm "yếu tố học tập" trong VN004</w:t>
      </w:r>
    </w:p>
    <w:p>
      <w:pPr>
        <w:jc w:val="both"/>
      </w:pPr>
      <w:r>
        <w:rPr>
          <w:b w:val="0"/>
          <w:i w:val="0"/>
          <w:color w:val="000000"/>
          <w:sz w:val="24"/>
        </w:rPr>
        <w:t>Nguyễn Thị Vân (2020) — VN004 trong cơ sở dữ liệu — khảo sát 558 học sinh THPT TPHCM bằng STAI Spielberger (bản Việt hóa Nguyễn Công Khanh, 2000) → 90 học sinh phỏng vấn sâu, mẫu thuận tiện 4 trường nội + ngoại thành. Tác giả phân tích bốn nhóm yếu tố ảnh hưởng đến lo âu: HỌC TẬP / gia đình / quan hệ xã hội / bản thân HS.</w:t>
      </w:r>
    </w:p>
    <w:p>
      <w:pPr>
        <w:jc w:val="center"/>
      </w:pPr>
      <w:r>
        <w:rPr>
          <w:b/>
          <w:sz w:val="22"/>
        </w:rPr>
        <w:t>Bảng 1. Yếu tố HỌC TẬP trong VN004</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0"/>
              </w:rPr>
              <w:t>Đặc điểm</w:t>
            </w:r>
          </w:p>
        </w:tc>
        <w:tc>
          <w:tcPr>
            <w:tcW w:type="dxa" w:w="4844"/>
          </w:tcPr>
          <w:p>
            <w:r>
              <w:rPr>
                <w:rFonts w:ascii="Times New Roman" w:hAnsi="Times New Roman"/>
                <w:sz w:val="20"/>
              </w:rPr>
              <w:t>VN004 Nguyễn Thị Vân (2020)</w:t>
            </w:r>
          </w:p>
        </w:tc>
      </w:tr>
      <w:tr>
        <w:tc>
          <w:tcPr>
            <w:tcW w:type="dxa" w:w="4844"/>
          </w:tcPr>
          <w:p>
            <w:r>
              <w:rPr>
                <w:rFonts w:ascii="Times New Roman" w:hAnsi="Times New Roman"/>
                <w:sz w:val="20"/>
              </w:rPr>
              <w:t>Tên biến</w:t>
            </w:r>
          </w:p>
        </w:tc>
        <w:tc>
          <w:tcPr>
            <w:tcW w:type="dxa" w:w="4844"/>
          </w:tcPr>
          <w:p>
            <w:r>
              <w:rPr>
                <w:rFonts w:ascii="Times New Roman" w:hAnsi="Times New Roman"/>
                <w:sz w:val="20"/>
              </w:rPr>
              <w:t>"Nhóm yếu tố học tập"</w:t>
            </w:r>
          </w:p>
        </w:tc>
      </w:tr>
      <w:tr>
        <w:tc>
          <w:tcPr>
            <w:tcW w:type="dxa" w:w="4844"/>
          </w:tcPr>
          <w:p>
            <w:r>
              <w:rPr>
                <w:rFonts w:ascii="Times New Roman" w:hAnsi="Times New Roman"/>
                <w:sz w:val="20"/>
              </w:rPr>
              <w:t>Hệ số tương quan r với lo âu</w:t>
            </w:r>
          </w:p>
        </w:tc>
        <w:tc>
          <w:tcPr>
            <w:tcW w:type="dxa" w:w="4844"/>
          </w:tcPr>
          <w:p>
            <w:r>
              <w:rPr>
                <w:rFonts w:ascii="Times New Roman" w:hAnsi="Times New Roman"/>
                <w:sz w:val="20"/>
              </w:rPr>
              <w:t>r = 0,37 (mạnh thứ 2 sau "bản thân HS" r=0,42)</w:t>
            </w:r>
          </w:p>
        </w:tc>
      </w:tr>
      <w:tr>
        <w:tc>
          <w:tcPr>
            <w:tcW w:type="dxa" w:w="4844"/>
          </w:tcPr>
          <w:p>
            <w:r>
              <w:rPr>
                <w:rFonts w:ascii="Times New Roman" w:hAnsi="Times New Roman"/>
                <w:sz w:val="20"/>
              </w:rPr>
              <w:t>Thang đo</w:t>
            </w:r>
          </w:p>
        </w:tc>
        <w:tc>
          <w:tcPr>
            <w:tcW w:type="dxa" w:w="4844"/>
          </w:tcPr>
          <w:p>
            <w:r>
              <w:rPr>
                <w:rFonts w:ascii="Times New Roman" w:hAnsi="Times New Roman"/>
                <w:sz w:val="20"/>
              </w:rPr>
              <w:t>Bảng hỏi tự thiết kế (KHÔNG nêu thang chuẩn quốc tế)</w:t>
            </w:r>
          </w:p>
        </w:tc>
      </w:tr>
      <w:tr>
        <w:tc>
          <w:tcPr>
            <w:tcW w:type="dxa" w:w="4844"/>
          </w:tcPr>
          <w:p>
            <w:r>
              <w:rPr>
                <w:rFonts w:ascii="Times New Roman" w:hAnsi="Times New Roman"/>
                <w:sz w:val="20"/>
              </w:rPr>
              <w:t>Số mục</w:t>
            </w:r>
          </w:p>
        </w:tc>
        <w:tc>
          <w:tcPr>
            <w:tcW w:type="dxa" w:w="4844"/>
          </w:tcPr>
          <w:p>
            <w:r>
              <w:rPr>
                <w:rFonts w:ascii="Times New Roman" w:hAnsi="Times New Roman"/>
                <w:sz w:val="20"/>
              </w:rPr>
              <w:t>Không công bố cụ thể</w:t>
            </w:r>
          </w:p>
        </w:tc>
      </w:tr>
      <w:tr>
        <w:tc>
          <w:tcPr>
            <w:tcW w:type="dxa" w:w="4844"/>
          </w:tcPr>
          <w:p>
            <w:r>
              <w:rPr>
                <w:rFonts w:ascii="Times New Roman" w:hAnsi="Times New Roman"/>
                <w:sz w:val="20"/>
              </w:rPr>
              <w:t>Số chiều phân biệt</w:t>
            </w:r>
          </w:p>
        </w:tc>
        <w:tc>
          <w:tcPr>
            <w:tcW w:type="dxa" w:w="4844"/>
          </w:tcPr>
          <w:p>
            <w:r>
              <w:rPr>
                <w:rFonts w:ascii="Times New Roman" w:hAnsi="Times New Roman"/>
                <w:sz w:val="20"/>
              </w:rPr>
              <w:t>CHỈ MỘT — gộp tất cả vào 1 biến</w:t>
            </w:r>
          </w:p>
        </w:tc>
      </w:tr>
      <w:tr>
        <w:tc>
          <w:tcPr>
            <w:tcW w:type="dxa" w:w="4844"/>
          </w:tcPr>
          <w:p>
            <w:r>
              <w:rPr>
                <w:rFonts w:ascii="Times New Roman" w:hAnsi="Times New Roman"/>
                <w:sz w:val="20"/>
              </w:rPr>
              <w:t>Top biểu hiện 1</w:t>
            </w:r>
          </w:p>
        </w:tc>
        <w:tc>
          <w:tcPr>
            <w:tcW w:type="dxa" w:w="4844"/>
          </w:tcPr>
          <w:p>
            <w:r>
              <w:rPr>
                <w:rFonts w:ascii="Times New Roman" w:hAnsi="Times New Roman"/>
                <w:sz w:val="20"/>
              </w:rPr>
              <w:t>Áp lực thi đại học (56,7% học sinh)</w:t>
            </w:r>
          </w:p>
        </w:tc>
      </w:tr>
      <w:tr>
        <w:tc>
          <w:tcPr>
            <w:tcW w:type="dxa" w:w="4844"/>
          </w:tcPr>
          <w:p>
            <w:r>
              <w:rPr>
                <w:rFonts w:ascii="Times New Roman" w:hAnsi="Times New Roman"/>
                <w:sz w:val="20"/>
              </w:rPr>
              <w:t>Top biểu hiện 2</w:t>
            </w:r>
          </w:p>
        </w:tc>
        <w:tc>
          <w:tcPr>
            <w:tcW w:type="dxa" w:w="4844"/>
          </w:tcPr>
          <w:p>
            <w:r>
              <w:rPr>
                <w:rFonts w:ascii="Times New Roman" w:hAnsi="Times New Roman"/>
                <w:sz w:val="20"/>
              </w:rPr>
              <w:t>Định hướng nghề (51,5%)</w:t>
            </w:r>
          </w:p>
        </w:tc>
      </w:tr>
      <w:tr>
        <w:tc>
          <w:tcPr>
            <w:tcW w:type="dxa" w:w="4844"/>
          </w:tcPr>
          <w:p>
            <w:r>
              <w:rPr>
                <w:rFonts w:ascii="Times New Roman" w:hAnsi="Times New Roman"/>
                <w:sz w:val="20"/>
              </w:rPr>
              <w:t>Top biểu hiện 3</w:t>
            </w:r>
          </w:p>
        </w:tc>
        <w:tc>
          <w:tcPr>
            <w:tcW w:type="dxa" w:w="4844"/>
          </w:tcPr>
          <w:p>
            <w:r>
              <w:rPr>
                <w:rFonts w:ascii="Times New Roman" w:hAnsi="Times New Roman"/>
                <w:sz w:val="20"/>
              </w:rPr>
              <w:t>Kỳ vọng cha mẹ về điểm số (48,9%)</w:t>
            </w:r>
          </w:p>
        </w:tc>
      </w:tr>
      <w:tr>
        <w:tc>
          <w:tcPr>
            <w:tcW w:type="dxa" w:w="4844"/>
          </w:tcPr>
          <w:p>
            <w:r>
              <w:rPr>
                <w:rFonts w:ascii="Times New Roman" w:hAnsi="Times New Roman"/>
                <w:sz w:val="20"/>
              </w:rPr>
              <w:t>Phân biệt áp lực thi vs khối lượng bài tập</w:t>
            </w:r>
          </w:p>
        </w:tc>
        <w:tc>
          <w:tcPr>
            <w:tcW w:type="dxa" w:w="4844"/>
          </w:tcPr>
          <w:p>
            <w:r>
              <w:rPr>
                <w:rFonts w:ascii="Times New Roman" w:hAnsi="Times New Roman"/>
                <w:sz w:val="20"/>
              </w:rPr>
              <w:t>KHÔNG</w:t>
            </w:r>
          </w:p>
        </w:tc>
      </w:tr>
      <w:tr>
        <w:tc>
          <w:tcPr>
            <w:tcW w:type="dxa" w:w="4844"/>
          </w:tcPr>
          <w:p>
            <w:r>
              <w:rPr>
                <w:rFonts w:ascii="Times New Roman" w:hAnsi="Times New Roman"/>
                <w:sz w:val="20"/>
              </w:rPr>
              <w:t>Phân biệt kỳ vọng nội vs ngoại</w:t>
            </w:r>
          </w:p>
        </w:tc>
        <w:tc>
          <w:tcPr>
            <w:tcW w:type="dxa" w:w="4844"/>
          </w:tcPr>
          <w:p>
            <w:r>
              <w:rPr>
                <w:rFonts w:ascii="Times New Roman" w:hAnsi="Times New Roman"/>
                <w:sz w:val="20"/>
              </w:rPr>
              <w:t>KHÔNG</w:t>
            </w:r>
          </w:p>
        </w:tc>
      </w:tr>
      <w:tr>
        <w:tc>
          <w:tcPr>
            <w:tcW w:type="dxa" w:w="4844"/>
          </w:tcPr>
          <w:p>
            <w:r>
              <w:rPr>
                <w:rFonts w:ascii="Times New Roman" w:hAnsi="Times New Roman"/>
                <w:sz w:val="20"/>
              </w:rPr>
              <w:t>Phân biệt áp lực hiện tại vs tương lai</w:t>
            </w:r>
          </w:p>
        </w:tc>
        <w:tc>
          <w:tcPr>
            <w:tcW w:type="dxa" w:w="4844"/>
          </w:tcPr>
          <w:p>
            <w:r>
              <w:rPr>
                <w:rFonts w:ascii="Times New Roman" w:hAnsi="Times New Roman"/>
                <w:sz w:val="20"/>
              </w:rPr>
              <w:t>KHÔNG</w:t>
            </w:r>
          </w:p>
        </w:tc>
      </w:tr>
    </w:tbl>
    <w:p>
      <w:pPr>
        <w:jc w:val="both"/>
      </w:pPr>
      <w:r>
        <w:rPr>
          <w:b w:val="0"/>
          <w:i w:val="0"/>
          <w:color w:val="000000"/>
          <w:sz w:val="24"/>
        </w:rPr>
      </w:r>
    </w:p>
    <w:p>
      <w:pPr>
        <w:jc w:val="both"/>
      </w:pPr>
      <w:r>
        <w:rPr>
          <w:b w:val="0"/>
          <w:i w:val="0"/>
          <w:color w:val="000000"/>
          <w:sz w:val="24"/>
        </w:rPr>
        <w:t>Tương tự VN014 (Hoàng Trung Học) đã phản biện hôm qua, VN004 đo "yếu tố học tập" chỉ bằng MỘT biến tổng — KHÔNG phân biệt các chiều con khác nhau. Hệ số r = 0,37 cho biết tổng thể nhóm học tập có liên quan với lo âu, nhưng KHÔNG xác định được chiều con nào MẠNH NHẤT.</w:t>
      </w:r>
    </w:p>
    <w:p>
      <w:r>
        <w:rPr>
          <w:b/>
          <w:color w:val="1F497D"/>
          <w:sz w:val="26"/>
        </w:rPr>
        <w:t>2. So sánh chuẩn quốc tế — VN004 đo TỔNG, không phân tách</w:t>
      </w:r>
    </w:p>
    <w:p>
      <w:pPr>
        <w:jc w:val="both"/>
      </w:pPr>
      <w:r>
        <w:rPr>
          <w:b w:val="0"/>
          <w:i w:val="0"/>
          <w:color w:val="000000"/>
          <w:sz w:val="24"/>
        </w:rPr>
        <w:t>Y văn quốc tế đã từ lâu phân biệt nhiều chiều con của áp lực học tập. Bảng dưới đây tổng hợp các thang chuẩn được sử dụng nhiều nhất.</w:t>
      </w:r>
    </w:p>
    <w:p>
      <w:pPr>
        <w:jc w:val="center"/>
      </w:pPr>
      <w:r>
        <w:rPr>
          <w:b/>
          <w:sz w:val="22"/>
        </w:rPr>
        <w:t>Bảng 2. Ba thang đo chuẩn quốc tế cho áp lực học tập + lo âu thi cử</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Thang đo</w:t>
            </w:r>
          </w:p>
        </w:tc>
        <w:tc>
          <w:tcPr>
            <w:tcW w:type="dxa" w:w="2422"/>
          </w:tcPr>
          <w:p>
            <w:r>
              <w:rPr>
                <w:rFonts w:ascii="Times New Roman" w:hAnsi="Times New Roman"/>
                <w:sz w:val="20"/>
              </w:rPr>
              <w:t>Tác giả gốc</w:t>
            </w:r>
          </w:p>
        </w:tc>
        <w:tc>
          <w:tcPr>
            <w:tcW w:type="dxa" w:w="2422"/>
          </w:tcPr>
          <w:p>
            <w:r>
              <w:rPr>
                <w:rFonts w:ascii="Times New Roman" w:hAnsi="Times New Roman"/>
                <w:sz w:val="20"/>
              </w:rPr>
              <w:t>Số mục</w:t>
            </w:r>
          </w:p>
        </w:tc>
        <w:tc>
          <w:tcPr>
            <w:tcW w:type="dxa" w:w="2422"/>
          </w:tcPr>
          <w:p>
            <w:r>
              <w:rPr>
                <w:rFonts w:ascii="Times New Roman" w:hAnsi="Times New Roman"/>
                <w:sz w:val="20"/>
              </w:rPr>
              <w:t>Số chiều</w:t>
            </w:r>
          </w:p>
        </w:tc>
      </w:tr>
      <w:tr>
        <w:tc>
          <w:tcPr>
            <w:tcW w:type="dxa" w:w="2422"/>
          </w:tcPr>
          <w:p>
            <w:r>
              <w:rPr>
                <w:rFonts w:ascii="Times New Roman" w:hAnsi="Times New Roman"/>
                <w:sz w:val="20"/>
              </w:rPr>
              <w:t>ESSA (Educational Stress Scale for Adolescents)</w:t>
            </w:r>
          </w:p>
        </w:tc>
        <w:tc>
          <w:tcPr>
            <w:tcW w:type="dxa" w:w="2422"/>
          </w:tcPr>
          <w:p>
            <w:r>
              <w:rPr>
                <w:rFonts w:ascii="Times New Roman" w:hAnsi="Times New Roman"/>
                <w:sz w:val="20"/>
              </w:rPr>
              <w:t>Sun, Dunne, Hou &amp; Xu (2011)</w:t>
            </w:r>
          </w:p>
        </w:tc>
        <w:tc>
          <w:tcPr>
            <w:tcW w:type="dxa" w:w="2422"/>
          </w:tcPr>
          <w:p>
            <w:r>
              <w:rPr>
                <w:rFonts w:ascii="Times New Roman" w:hAnsi="Times New Roman"/>
                <w:sz w:val="20"/>
              </w:rPr>
              <w:t>16</w:t>
            </w:r>
          </w:p>
        </w:tc>
        <w:tc>
          <w:tcPr>
            <w:tcW w:type="dxa" w:w="2422"/>
          </w:tcPr>
          <w:p>
            <w:r>
              <w:rPr>
                <w:rFonts w:ascii="Times New Roman" w:hAnsi="Times New Roman"/>
                <w:sz w:val="20"/>
              </w:rPr>
              <w:t>5 chiều: Pressure from study / Workload / Worry about grades / Self-expectation / Despondency</w:t>
            </w:r>
          </w:p>
        </w:tc>
      </w:tr>
      <w:tr>
        <w:tc>
          <w:tcPr>
            <w:tcW w:type="dxa" w:w="2422"/>
          </w:tcPr>
          <w:p>
            <w:r>
              <w:rPr>
                <w:rFonts w:ascii="Times New Roman" w:hAnsi="Times New Roman"/>
                <w:sz w:val="20"/>
              </w:rPr>
              <w:t>CTAS (Cognitive Test Anxiety Scale)</w:t>
            </w:r>
          </w:p>
        </w:tc>
        <w:tc>
          <w:tcPr>
            <w:tcW w:type="dxa" w:w="2422"/>
          </w:tcPr>
          <w:p>
            <w:r>
              <w:rPr>
                <w:rFonts w:ascii="Times New Roman" w:hAnsi="Times New Roman"/>
                <w:sz w:val="20"/>
              </w:rPr>
              <w:t>Cassady &amp; Johnson (2002)</w:t>
            </w:r>
          </w:p>
        </w:tc>
        <w:tc>
          <w:tcPr>
            <w:tcW w:type="dxa" w:w="2422"/>
          </w:tcPr>
          <w:p>
            <w:r>
              <w:rPr>
                <w:rFonts w:ascii="Times New Roman" w:hAnsi="Times New Roman"/>
                <w:sz w:val="20"/>
              </w:rPr>
              <w:t>27</w:t>
            </w:r>
          </w:p>
        </w:tc>
        <w:tc>
          <w:tcPr>
            <w:tcW w:type="dxa" w:w="2422"/>
          </w:tcPr>
          <w:p>
            <w:r>
              <w:rPr>
                <w:rFonts w:ascii="Times New Roman" w:hAnsi="Times New Roman"/>
                <w:sz w:val="20"/>
              </w:rPr>
              <w:t>1 chiều: cognitive test anxiety (lo âu thi cử nhận thức)</w:t>
            </w:r>
          </w:p>
        </w:tc>
      </w:tr>
      <w:tr>
        <w:tc>
          <w:tcPr>
            <w:tcW w:type="dxa" w:w="2422"/>
          </w:tcPr>
          <w:p>
            <w:r>
              <w:rPr>
                <w:rFonts w:ascii="Times New Roman" w:hAnsi="Times New Roman"/>
                <w:sz w:val="20"/>
              </w:rPr>
              <w:t>TAI (Test Anxiety Inventory)</w:t>
            </w:r>
          </w:p>
        </w:tc>
        <w:tc>
          <w:tcPr>
            <w:tcW w:type="dxa" w:w="2422"/>
          </w:tcPr>
          <w:p>
            <w:r>
              <w:rPr>
                <w:rFonts w:ascii="Times New Roman" w:hAnsi="Times New Roman"/>
                <w:sz w:val="20"/>
              </w:rPr>
              <w:t>Spielberger (1980)</w:t>
            </w:r>
          </w:p>
        </w:tc>
        <w:tc>
          <w:tcPr>
            <w:tcW w:type="dxa" w:w="2422"/>
          </w:tcPr>
          <w:p>
            <w:r>
              <w:rPr>
                <w:rFonts w:ascii="Times New Roman" w:hAnsi="Times New Roman"/>
                <w:sz w:val="20"/>
              </w:rPr>
              <w:t>20</w:t>
            </w:r>
          </w:p>
        </w:tc>
        <w:tc>
          <w:tcPr>
            <w:tcW w:type="dxa" w:w="2422"/>
          </w:tcPr>
          <w:p>
            <w:r>
              <w:rPr>
                <w:rFonts w:ascii="Times New Roman" w:hAnsi="Times New Roman"/>
                <w:sz w:val="20"/>
              </w:rPr>
              <w:t>2 chiều: Worry (lo lắng) / Emotionality (cảm xúc kích hoạt)</w:t>
            </w:r>
          </w:p>
        </w:tc>
      </w:tr>
    </w:tbl>
    <w:p>
      <w:pPr>
        <w:jc w:val="both"/>
      </w:pPr>
      <w:r>
        <w:rPr>
          <w:b w:val="0"/>
          <w:i w:val="0"/>
          <w:color w:val="000000"/>
          <w:sz w:val="24"/>
        </w:rPr>
      </w:r>
    </w:p>
    <w:p>
      <w:pPr>
        <w:jc w:val="both"/>
      </w:pPr>
      <w:r>
        <w:rPr>
          <w:b/>
          <w:i w:val="0"/>
          <w:color w:val="000000"/>
          <w:sz w:val="24"/>
        </w:rPr>
        <w:t>Hai ví dụ so sánh:</w:t>
      </w:r>
    </w:p>
    <w:p>
      <w:pPr>
        <w:jc w:val="both"/>
      </w:pPr>
      <w:r>
        <w:rPr>
          <w:b w:val="0"/>
          <w:i w:val="0"/>
          <w:color w:val="000000"/>
          <w:sz w:val="24"/>
        </w:rPr>
        <w:t>Thứ nhất, Trần Thảo Vi và cộng sự (2024) trong Journal of Rural Medicine trên 611 học sinh trung học Huế đã sử dụng thang ESSA 16 mục — phân tách rõ năm chiều con. Phù hợp với chuẩn quốc tế Sun và cộng sự (2011), cho phép so sánh meta-analysis với y văn châu Á và châu Âu.</w:t>
      </w:r>
    </w:p>
    <w:p>
      <w:pPr>
        <w:jc w:val="both"/>
      </w:pPr>
      <w:r>
        <w:rPr>
          <w:b w:val="0"/>
          <w:i w:val="0"/>
          <w:color w:val="000000"/>
          <w:sz w:val="24"/>
        </w:rPr>
        <w:t>Thứ hai, Chương 3 luận án của thầy đã sử dụng ESSA RÚT GỌN 4 mục (ESSA.3 bài tập, ESSA.4 sự nghiệp tương lai, ESSA.5 kỳ vọng cha mẹ, ESSA.6 kiểm tra). Tốt hơn VN004 (bảng tự thiết kế) nhưng vẫn yếu hơn ESSA full 16 mục — đặc biệt thiếu chiều "Despondency" (chán nản học tập) — một chiều CỐT LÕI theo Sun 2011.</w:t>
      </w:r>
    </w:p>
    <w:p>
      <w:r>
        <w:rPr>
          <w:b/>
          <w:color w:val="1F497D"/>
          <w:sz w:val="26"/>
        </w:rPr>
        <w:t>3. Sáu chiều con của "yếu tố học tập" bị VN004 gộp chung</w:t>
      </w:r>
    </w:p>
    <w:p>
      <w:pPr>
        <w:jc w:val="center"/>
      </w:pPr>
      <w:r>
        <w:rPr>
          <w:b/>
          <w:sz w:val="22"/>
        </w:rPr>
        <w:t>Bảng 3. Sáu chiều con của áp lực học tập và tác động dự kiến với lo âu</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w:t>
            </w:r>
          </w:p>
        </w:tc>
        <w:tc>
          <w:tcPr>
            <w:tcW w:type="dxa" w:w="2422"/>
          </w:tcPr>
          <w:p>
            <w:r>
              <w:rPr>
                <w:rFonts w:ascii="Times New Roman" w:hAnsi="Times New Roman"/>
                <w:sz w:val="20"/>
              </w:rPr>
              <w:t>Chiều con</w:t>
            </w:r>
          </w:p>
        </w:tc>
        <w:tc>
          <w:tcPr>
            <w:tcW w:type="dxa" w:w="2422"/>
          </w:tcPr>
          <w:p>
            <w:r>
              <w:rPr>
                <w:rFonts w:ascii="Times New Roman" w:hAnsi="Times New Roman"/>
                <w:sz w:val="20"/>
              </w:rPr>
              <w:t>Tác động dự kiến với lo âu</w:t>
            </w:r>
          </w:p>
        </w:tc>
        <w:tc>
          <w:tcPr>
            <w:tcW w:type="dxa" w:w="2422"/>
          </w:tcPr>
          <w:p>
            <w:r>
              <w:rPr>
                <w:rFonts w:ascii="Times New Roman" w:hAnsi="Times New Roman"/>
                <w:sz w:val="20"/>
              </w:rPr>
              <w:t>Bằng chứng tham chiếu</w:t>
            </w:r>
          </w:p>
        </w:tc>
      </w:tr>
      <w:tr>
        <w:tc>
          <w:tcPr>
            <w:tcW w:type="dxa" w:w="2422"/>
          </w:tcPr>
          <w:p>
            <w:r>
              <w:rPr>
                <w:rFonts w:ascii="Times New Roman" w:hAnsi="Times New Roman"/>
                <w:sz w:val="20"/>
              </w:rPr>
              <w:t>1</w:t>
            </w:r>
          </w:p>
        </w:tc>
        <w:tc>
          <w:tcPr>
            <w:tcW w:type="dxa" w:w="2422"/>
          </w:tcPr>
          <w:p>
            <w:r>
              <w:rPr>
                <w:rFonts w:ascii="Times New Roman" w:hAnsi="Times New Roman"/>
                <w:sz w:val="20"/>
              </w:rPr>
              <w:t>Áp lực thi cử (test anxiety)</w:t>
            </w:r>
          </w:p>
        </w:tc>
        <w:tc>
          <w:tcPr>
            <w:tcW w:type="dxa" w:w="2422"/>
          </w:tcPr>
          <w:p>
            <w:r>
              <w:rPr>
                <w:rFonts w:ascii="Times New Roman" w:hAnsi="Times New Roman"/>
                <w:sz w:val="20"/>
              </w:rPr>
              <w:t>β DƯƠNG mạnh — yếu tố nguy cơ</w:t>
            </w:r>
          </w:p>
        </w:tc>
        <w:tc>
          <w:tcPr>
            <w:tcW w:type="dxa" w:w="2422"/>
          </w:tcPr>
          <w:p>
            <w:r>
              <w:rPr>
                <w:rFonts w:ascii="Times New Roman" w:hAnsi="Times New Roman"/>
                <w:sz w:val="20"/>
              </w:rPr>
              <w:t>Pascoe 2020; Spielberger 1980 TAI</w:t>
            </w:r>
          </w:p>
        </w:tc>
      </w:tr>
      <w:tr>
        <w:tc>
          <w:tcPr>
            <w:tcW w:type="dxa" w:w="2422"/>
          </w:tcPr>
          <w:p>
            <w:r>
              <w:rPr>
                <w:rFonts w:ascii="Times New Roman" w:hAnsi="Times New Roman"/>
                <w:sz w:val="20"/>
              </w:rPr>
              <w:t>2</w:t>
            </w:r>
          </w:p>
        </w:tc>
        <w:tc>
          <w:tcPr>
            <w:tcW w:type="dxa" w:w="2422"/>
          </w:tcPr>
          <w:p>
            <w:r>
              <w:rPr>
                <w:rFonts w:ascii="Times New Roman" w:hAnsi="Times New Roman"/>
                <w:sz w:val="20"/>
              </w:rPr>
              <w:t>Khối lượng bài tập (workload)</w:t>
            </w:r>
          </w:p>
        </w:tc>
        <w:tc>
          <w:tcPr>
            <w:tcW w:type="dxa" w:w="2422"/>
          </w:tcPr>
          <w:p>
            <w:r>
              <w:rPr>
                <w:rFonts w:ascii="Times New Roman" w:hAnsi="Times New Roman"/>
                <w:sz w:val="20"/>
              </w:rPr>
              <w:t>β DƯƠNG vừa — yếu tố nguy cơ</w:t>
            </w:r>
          </w:p>
        </w:tc>
        <w:tc>
          <w:tcPr>
            <w:tcW w:type="dxa" w:w="2422"/>
          </w:tcPr>
          <w:p>
            <w:r>
              <w:rPr>
                <w:rFonts w:ascii="Times New Roman" w:hAnsi="Times New Roman"/>
                <w:sz w:val="20"/>
              </w:rPr>
              <w:t>OECD 2018 — VN top 5 bài tập về nhà</w:t>
            </w:r>
          </w:p>
        </w:tc>
      </w:tr>
      <w:tr>
        <w:tc>
          <w:tcPr>
            <w:tcW w:type="dxa" w:w="2422"/>
          </w:tcPr>
          <w:p>
            <w:r>
              <w:rPr>
                <w:rFonts w:ascii="Times New Roman" w:hAnsi="Times New Roman"/>
                <w:sz w:val="20"/>
              </w:rPr>
              <w:t>3</w:t>
            </w:r>
          </w:p>
        </w:tc>
        <w:tc>
          <w:tcPr>
            <w:tcW w:type="dxa" w:w="2422"/>
          </w:tcPr>
          <w:p>
            <w:r>
              <w:rPr>
                <w:rFonts w:ascii="Times New Roman" w:hAnsi="Times New Roman"/>
                <w:sz w:val="20"/>
              </w:rPr>
              <w:t>Lo lắng về điểm số (worry about grades)</w:t>
            </w:r>
          </w:p>
        </w:tc>
        <w:tc>
          <w:tcPr>
            <w:tcW w:type="dxa" w:w="2422"/>
          </w:tcPr>
          <w:p>
            <w:r>
              <w:rPr>
                <w:rFonts w:ascii="Times New Roman" w:hAnsi="Times New Roman"/>
                <w:sz w:val="20"/>
              </w:rPr>
              <w:t>β DƯƠNG mạnh — đặc biệt với lo âu xã hội</w:t>
            </w:r>
          </w:p>
        </w:tc>
        <w:tc>
          <w:tcPr>
            <w:tcW w:type="dxa" w:w="2422"/>
          </w:tcPr>
          <w:p>
            <w:r>
              <w:rPr>
                <w:rFonts w:ascii="Times New Roman" w:hAnsi="Times New Roman"/>
                <w:sz w:val="20"/>
              </w:rPr>
              <w:t>Sun 2011; Putwain 2008</w:t>
            </w:r>
          </w:p>
        </w:tc>
      </w:tr>
      <w:tr>
        <w:tc>
          <w:tcPr>
            <w:tcW w:type="dxa" w:w="2422"/>
          </w:tcPr>
          <w:p>
            <w:r>
              <w:rPr>
                <w:rFonts w:ascii="Times New Roman" w:hAnsi="Times New Roman"/>
                <w:sz w:val="20"/>
              </w:rPr>
              <w:t>4</w:t>
            </w:r>
          </w:p>
        </w:tc>
        <w:tc>
          <w:tcPr>
            <w:tcW w:type="dxa" w:w="2422"/>
          </w:tcPr>
          <w:p>
            <w:r>
              <w:rPr>
                <w:rFonts w:ascii="Times New Roman" w:hAnsi="Times New Roman"/>
                <w:sz w:val="20"/>
              </w:rPr>
              <w:t>Kỳ vọng tự thân (self-expectation)</w:t>
            </w:r>
          </w:p>
        </w:tc>
        <w:tc>
          <w:tcPr>
            <w:tcW w:type="dxa" w:w="2422"/>
          </w:tcPr>
          <w:p>
            <w:r>
              <w:rPr>
                <w:rFonts w:ascii="Times New Roman" w:hAnsi="Times New Roman"/>
                <w:sz w:val="20"/>
              </w:rPr>
              <w:t>β có thể DƯƠNG hoặc U-NGƯỢC</w:t>
            </w:r>
          </w:p>
        </w:tc>
        <w:tc>
          <w:tcPr>
            <w:tcW w:type="dxa" w:w="2422"/>
          </w:tcPr>
          <w:p>
            <w:r>
              <w:rPr>
                <w:rFonts w:ascii="Times New Roman" w:hAnsi="Times New Roman"/>
                <w:sz w:val="20"/>
              </w:rPr>
              <w:t>Pascoe 2020 mô hình U-ngược</w:t>
            </w:r>
          </w:p>
        </w:tc>
      </w:tr>
      <w:tr>
        <w:tc>
          <w:tcPr>
            <w:tcW w:type="dxa" w:w="2422"/>
          </w:tcPr>
          <w:p>
            <w:r>
              <w:rPr>
                <w:rFonts w:ascii="Times New Roman" w:hAnsi="Times New Roman"/>
                <w:sz w:val="20"/>
              </w:rPr>
              <w:t>5</w:t>
            </w:r>
          </w:p>
        </w:tc>
        <w:tc>
          <w:tcPr>
            <w:tcW w:type="dxa" w:w="2422"/>
          </w:tcPr>
          <w:p>
            <w:r>
              <w:rPr>
                <w:rFonts w:ascii="Times New Roman" w:hAnsi="Times New Roman"/>
                <w:sz w:val="20"/>
              </w:rPr>
              <w:t>Kỳ vọng từ cha mẹ (parental expectation)</w:t>
            </w:r>
          </w:p>
        </w:tc>
        <w:tc>
          <w:tcPr>
            <w:tcW w:type="dxa" w:w="2422"/>
          </w:tcPr>
          <w:p>
            <w:r>
              <w:rPr>
                <w:rFonts w:ascii="Times New Roman" w:hAnsi="Times New Roman"/>
                <w:sz w:val="20"/>
              </w:rPr>
              <w:t>β DƯƠNG — đặc biệt văn hóa Á</w:t>
            </w:r>
          </w:p>
        </w:tc>
        <w:tc>
          <w:tcPr>
            <w:tcW w:type="dxa" w:w="2422"/>
          </w:tcPr>
          <w:p>
            <w:r>
              <w:rPr>
                <w:rFonts w:ascii="Times New Roman" w:hAnsi="Times New Roman"/>
                <w:sz w:val="20"/>
              </w:rPr>
              <w:t>VN004: 48,9% HS bị ảnh hưởng</w:t>
            </w:r>
          </w:p>
        </w:tc>
      </w:tr>
      <w:tr>
        <w:tc>
          <w:tcPr>
            <w:tcW w:type="dxa" w:w="2422"/>
          </w:tcPr>
          <w:p>
            <w:r>
              <w:rPr>
                <w:rFonts w:ascii="Times New Roman" w:hAnsi="Times New Roman"/>
                <w:sz w:val="20"/>
              </w:rPr>
              <w:t>6</w:t>
            </w:r>
          </w:p>
        </w:tc>
        <w:tc>
          <w:tcPr>
            <w:tcW w:type="dxa" w:w="2422"/>
          </w:tcPr>
          <w:p>
            <w:r>
              <w:rPr>
                <w:rFonts w:ascii="Times New Roman" w:hAnsi="Times New Roman"/>
                <w:sz w:val="20"/>
              </w:rPr>
              <w:t>Định hướng tương lai (future-oriented stress)</w:t>
            </w:r>
          </w:p>
        </w:tc>
        <w:tc>
          <w:tcPr>
            <w:tcW w:type="dxa" w:w="2422"/>
          </w:tcPr>
          <w:p>
            <w:r>
              <w:rPr>
                <w:rFonts w:ascii="Times New Roman" w:hAnsi="Times New Roman"/>
                <w:sz w:val="20"/>
              </w:rPr>
              <w:t>β DƯƠNG — đặc thù VN sớm hơn phương Tây</w:t>
            </w:r>
          </w:p>
        </w:tc>
        <w:tc>
          <w:tcPr>
            <w:tcW w:type="dxa" w:w="2422"/>
          </w:tcPr>
          <w:p>
            <w:r>
              <w:rPr>
                <w:rFonts w:ascii="Times New Roman" w:hAnsi="Times New Roman"/>
                <w:sz w:val="20"/>
              </w:rPr>
              <w:t>VN004: 51,5%; Trần Thảo Vi 2024</w:t>
            </w:r>
          </w:p>
        </w:tc>
      </w:tr>
    </w:tbl>
    <w:p>
      <w:pPr>
        <w:jc w:val="both"/>
      </w:pPr>
      <w:r>
        <w:rPr>
          <w:b w:val="0"/>
          <w:i w:val="0"/>
          <w:color w:val="000000"/>
          <w:sz w:val="24"/>
        </w:rPr>
      </w:r>
    </w:p>
    <w:p>
      <w:pPr>
        <w:jc w:val="both"/>
      </w:pPr>
      <w:r>
        <w:rPr>
          <w:b w:val="0"/>
          <w:i w:val="0"/>
          <w:color w:val="000000"/>
          <w:sz w:val="24"/>
        </w:rPr>
        <w:t>Hai luận điểm quan trọng từ bảng trên. Thứ nhất, sáu chiều con có CƠ CHẾ và CƯỜNG ĐỘ tác động khác nhau lên lo âu. Áp lực thi cử thường tác động qua trục HPA (cortisol cấp tính), khối lượng bài tập tác động qua giấc ngủ, kỳ vọng cha mẹ tác động qua tự đánh giá. Gộp tất cả thành 1 biến TRIỆT TIÊU sự khác biệt cơ chế.</w:t>
      </w:r>
    </w:p>
    <w:p>
      <w:pPr>
        <w:jc w:val="both"/>
      </w:pPr>
      <w:r>
        <w:rPr>
          <w:b w:val="0"/>
          <w:i w:val="0"/>
          <w:color w:val="000000"/>
          <w:sz w:val="24"/>
        </w:rPr>
        <w:t>Thứ hai, các chiều con có khả năng can thiệp KHÁC NHAU. Áp lực thi cử có thể giảm bằng kỹ năng quản lý thi (TAI intervention). Khối lượng bài tập cần can thiệp cấp TRƯỜNG (giảm bài tập). Kỳ vọng cha mẹ cần can thiệp cấp GIA ĐÌNH. Không phân tách thì KHÔNG thiết kế được can thiệp đích.</w:t>
      </w:r>
    </w:p>
    <w:p>
      <w:r>
        <w:rPr>
          <w:b/>
          <w:color w:val="1F497D"/>
          <w:sz w:val="26"/>
        </w:rPr>
        <w:t>4. Bốn hậu quả phương pháp luận</w:t>
      </w:r>
    </w:p>
    <w:p>
      <w:pPr>
        <w:jc w:val="both"/>
      </w:pPr>
      <w:r>
        <w:rPr>
          <w:b w:val="0"/>
          <w:i w:val="0"/>
          <w:color w:val="000000"/>
          <w:sz w:val="24"/>
        </w:rPr>
        <w:t>Việc gộp tất cả thành 1 biến gây ra bốn hậu quả nghiêm trọng cho giá trị khoa học của VN004.</w:t>
      </w:r>
    </w:p>
    <w:p>
      <w:r>
        <w:rPr>
          <w:b/>
          <w:color w:val="000000"/>
          <w:sz w:val="24"/>
        </w:rPr>
        <w:t>4.1. Hệ số r = 0,37 KHÔNG phân biệt được aspect mạnh nhất</w:t>
      </w:r>
    </w:p>
    <w:p>
      <w:pPr>
        <w:jc w:val="both"/>
      </w:pPr>
      <w:r>
        <w:rPr>
          <w:b w:val="0"/>
          <w:i w:val="0"/>
          <w:color w:val="000000"/>
          <w:sz w:val="24"/>
        </w:rPr>
        <w:t>Khi r = 0,37 cho biết "yếu tố học tập có liên quan với lo âu" — nhưng không trả lời được: aspect NÀO mạnh nhất? Áp lực thi cử có mạnh hơn khối lượng bài tập? Kỳ vọng cha mẹ có vượt lo lắng điểm số? Mỗi can thiệp khác nhau cho mỗi chiều con. Hệ số tổng không hướng dẫn được thực hành.</w:t>
      </w:r>
    </w:p>
    <w:p>
      <w:r>
        <w:rPr>
          <w:b/>
          <w:color w:val="000000"/>
          <w:sz w:val="24"/>
        </w:rPr>
        <w:t>4.2. Top 3 biểu hiện chỉ là TẦN SUẤT, không phải PREDICTOR</w:t>
      </w:r>
    </w:p>
    <w:p>
      <w:pPr>
        <w:jc w:val="both"/>
      </w:pPr>
      <w:r>
        <w:rPr>
          <w:b w:val="0"/>
          <w:i w:val="0"/>
          <w:color w:val="000000"/>
          <w:sz w:val="24"/>
        </w:rPr>
        <w:t>Ba biểu hiện hàng đầu trong VN004 — áp lực thi đại học (56,7%), định hướng nghề (51,5%), kỳ vọng cha mẹ (48,9%) — chỉ là TỶ LỆ % học sinh có biểu hiện. Đây là TẦN SUẤT XUẤT HIỆN, KHÔNG phải CƯỜNG ĐỘ TÁC ĐỘNG lên lo âu. Hai khái niệm khác nhau hoàn toàn:</w:t>
      </w:r>
    </w:p>
    <w:p>
      <w:pPr>
        <w:jc w:val="both"/>
      </w:pPr>
      <w:r>
        <w:rPr>
          <w:b w:val="0"/>
          <w:i w:val="0"/>
          <w:color w:val="000000"/>
          <w:sz w:val="24"/>
        </w:rPr>
        <w:t>• 56,7% học sinh có áp lực thi ĐH KHÔNG nghĩa là áp lực thi ĐH gây 56,7% phương sai lo âu.</w:t>
        <w:br/>
        <w:t>• Có thể chỉ 30% học sinh có áp lực kỳ vọng cha mẹ NHƯNG cường độ tác động β = 0,5 lên lo âu — mạnh hơn 56,7% áp lực thi ĐH với β = 0,2.</w:t>
      </w:r>
    </w:p>
    <w:p>
      <w:pPr>
        <w:jc w:val="both"/>
      </w:pPr>
      <w:r>
        <w:rPr>
          <w:b w:val="0"/>
          <w:i w:val="0"/>
          <w:color w:val="000000"/>
          <w:sz w:val="24"/>
        </w:rPr>
        <w:t>Kết luận: VN004 KHÔNG cung cấp thông tin về chiều nào mạnh nhất với lo âu — chỉ cho biết chiều nào phổ biến nhất.</w:t>
      </w:r>
    </w:p>
    <w:p>
      <w:r>
        <w:rPr>
          <w:b/>
          <w:color w:val="000000"/>
          <w:sz w:val="24"/>
        </w:rPr>
        <w:t>4.3. Không so sánh trực tiếp được với y văn quốc tế</w:t>
      </w:r>
    </w:p>
    <w:p>
      <w:pPr>
        <w:jc w:val="both"/>
      </w:pPr>
      <w:r>
        <w:rPr>
          <w:b w:val="0"/>
          <w:i w:val="0"/>
          <w:color w:val="000000"/>
          <w:sz w:val="24"/>
        </w:rPr>
        <w:t>r = 0,37 từ thang tự thiết kế của VN004 KHÔNG so sánh được với r tương ứng từ ESSA/TAI/AAS quốc tế. Khoảng cách so sánh này làm giảm giá trị đóng góp của VN004 cho y văn — bài chỉ "đóng góp số liệu Việt Nam" mà không cho phép so sánh quốc tế. Đặc biệt, KHÔNG thể đưa VN004 vào meta-analysis quốc tế về áp lực học tập.</w:t>
      </w:r>
    </w:p>
    <w:p>
      <w:r>
        <w:rPr>
          <w:b/>
          <w:color w:val="000000"/>
          <w:sz w:val="24"/>
        </w:rPr>
        <w:t>4.4. Không hướng dẫn được thiết kế can thiệp đích</w:t>
      </w:r>
    </w:p>
    <w:p>
      <w:pPr>
        <w:jc w:val="both"/>
      </w:pPr>
      <w:r>
        <w:rPr>
          <w:b w:val="0"/>
          <w:i w:val="0"/>
          <w:color w:val="000000"/>
          <w:sz w:val="24"/>
        </w:rPr>
        <w:t>Khuyến nghị "giảm áp lực học tập" trong VN004 quá chung chung. Giảm aspect nào? Khối lượng bài tập? Áp lực thi? Kỳ vọng cha mẹ? Định hướng tương lai? Mô hình can thiệp khác nhau cho mỗi chiều:</w:t>
      </w:r>
    </w:p>
    <w:p>
      <w:pPr>
        <w:jc w:val="both"/>
      </w:pPr>
      <w:r>
        <w:rPr>
          <w:b w:val="0"/>
          <w:i w:val="0"/>
          <w:color w:val="000000"/>
          <w:sz w:val="24"/>
        </w:rPr>
        <w:t>• Giảm khối lượng bài tập → can thiệp CẤP TRƯỜNG (chính sách)</w:t>
      </w:r>
    </w:p>
    <w:p>
      <w:pPr>
        <w:jc w:val="both"/>
      </w:pPr>
      <w:r>
        <w:rPr>
          <w:b w:val="0"/>
          <w:i w:val="0"/>
          <w:color w:val="000000"/>
          <w:sz w:val="24"/>
        </w:rPr>
        <w:t>• Giảm áp lực thi → can thiệp CẤP HỌC SINH (kỹ năng quản lý thi)</w:t>
      </w:r>
    </w:p>
    <w:p>
      <w:pPr>
        <w:jc w:val="both"/>
      </w:pPr>
      <w:r>
        <w:rPr>
          <w:b w:val="0"/>
          <w:i w:val="0"/>
          <w:color w:val="000000"/>
          <w:sz w:val="24"/>
        </w:rPr>
        <w:t>• Giảm kỳ vọng cha mẹ → can thiệp CẤP GIA ĐÌNH (parent training)</w:t>
      </w:r>
    </w:p>
    <w:p>
      <w:pPr>
        <w:jc w:val="both"/>
      </w:pPr>
      <w:r>
        <w:rPr>
          <w:b w:val="0"/>
          <w:i w:val="0"/>
          <w:color w:val="000000"/>
          <w:sz w:val="24"/>
        </w:rPr>
        <w:t>• Giảm áp lực tương lai → can thiệp CẤP TƯ VẤN HƯỚNG NGHIỆP</w:t>
      </w:r>
    </w:p>
    <w:p>
      <w:pPr>
        <w:jc w:val="both"/>
      </w:pPr>
      <w:r>
        <w:rPr>
          <w:b w:val="0"/>
          <w:i w:val="0"/>
          <w:color w:val="000000"/>
          <w:sz w:val="24"/>
        </w:rPr>
        <w:t>Không có phân tách chiều con thì không có can thiệp đích.</w:t>
      </w:r>
    </w:p>
    <w:p>
      <w:r>
        <w:rPr>
          <w:b/>
          <w:color w:val="1F497D"/>
          <w:sz w:val="26"/>
        </w:rPr>
        <w:t>5. Bốn đề xuất cho thiết kế nghiên cứu mới</w:t>
      </w:r>
    </w:p>
    <w:p>
      <w:pPr>
        <w:jc w:val="both"/>
      </w:pPr>
      <w:r>
        <w:rPr>
          <w:b/>
          <w:i w:val="0"/>
          <w:color w:val="000000"/>
          <w:sz w:val="24"/>
        </w:rPr>
        <w:t>Đề tài của thầy có thể LẤP KHOẢNG TRỐNG này bằng cách đo "yếu tố học tập" theo nhiều chiều ngay từ thiết kế.</w:t>
      </w:r>
    </w:p>
    <w:p>
      <w:pPr>
        <w:jc w:val="both"/>
      </w:pPr>
      <w:r>
        <w:rPr>
          <w:b w:val="0"/>
          <w:i w:val="0"/>
          <w:color w:val="000000"/>
          <w:sz w:val="24"/>
        </w:rPr>
        <w:t>ĐỀ XUẤT 1 — Chọn thang chuẩn quốc tế. Ba lựa chọn ưu tiên: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Lựa chọn</w:t>
            </w:r>
          </w:p>
        </w:tc>
        <w:tc>
          <w:tcPr>
            <w:tcW w:type="dxa" w:w="2422"/>
          </w:tcPr>
          <w:p>
            <w:r>
              <w:rPr>
                <w:rFonts w:ascii="Times New Roman" w:hAnsi="Times New Roman"/>
                <w:sz w:val="20"/>
              </w:rPr>
              <w:t>Thang</w:t>
            </w:r>
          </w:p>
        </w:tc>
        <w:tc>
          <w:tcPr>
            <w:tcW w:type="dxa" w:w="2422"/>
          </w:tcPr>
          <w:p>
            <w:r>
              <w:rPr>
                <w:rFonts w:ascii="Times New Roman" w:hAnsi="Times New Roman"/>
                <w:sz w:val="20"/>
              </w:rPr>
              <w:t>Ưu điểm</w:t>
            </w:r>
          </w:p>
        </w:tc>
        <w:tc>
          <w:tcPr>
            <w:tcW w:type="dxa" w:w="2422"/>
          </w:tcPr>
          <w:p>
            <w:r>
              <w:rPr>
                <w:rFonts w:ascii="Times New Roman" w:hAnsi="Times New Roman"/>
                <w:sz w:val="20"/>
              </w:rPr>
              <w:t>Nhược điểm</w:t>
            </w:r>
          </w:p>
        </w:tc>
      </w:tr>
      <w:tr>
        <w:tc>
          <w:tcPr>
            <w:tcW w:type="dxa" w:w="2422"/>
          </w:tcPr>
          <w:p>
            <w:r>
              <w:rPr>
                <w:rFonts w:ascii="Times New Roman" w:hAnsi="Times New Roman"/>
                <w:sz w:val="20"/>
              </w:rPr>
              <w:t>ƯU TIÊN 1</w:t>
            </w:r>
          </w:p>
        </w:tc>
        <w:tc>
          <w:tcPr>
            <w:tcW w:type="dxa" w:w="2422"/>
          </w:tcPr>
          <w:p>
            <w:r>
              <w:rPr>
                <w:rFonts w:ascii="Times New Roman" w:hAnsi="Times New Roman"/>
                <w:sz w:val="20"/>
              </w:rPr>
              <w:t>ESSA full 16 mục (Sun et al. 2011), 5 chiều</w:t>
            </w:r>
          </w:p>
        </w:tc>
        <w:tc>
          <w:tcPr>
            <w:tcW w:type="dxa" w:w="2422"/>
          </w:tcPr>
          <w:p>
            <w:r>
              <w:rPr>
                <w:rFonts w:ascii="Times New Roman" w:hAnsi="Times New Roman"/>
                <w:sz w:val="20"/>
              </w:rPr>
              <w:t>Chuẩn quốc tế nhất; đã được Trần Thảo Vi 2024 sử dụng tại VN; cho phép so sánh meta-analysis</w:t>
            </w:r>
          </w:p>
        </w:tc>
        <w:tc>
          <w:tcPr>
            <w:tcW w:type="dxa" w:w="2422"/>
          </w:tcPr>
          <w:p>
            <w:r>
              <w:rPr>
                <w:rFonts w:ascii="Times New Roman" w:hAnsi="Times New Roman"/>
                <w:sz w:val="20"/>
              </w:rPr>
              <w:t>Cần dịch + chuẩn hóa</w:t>
            </w:r>
          </w:p>
        </w:tc>
      </w:tr>
      <w:tr>
        <w:tc>
          <w:tcPr>
            <w:tcW w:type="dxa" w:w="2422"/>
          </w:tcPr>
          <w:p>
            <w:r>
              <w:rPr>
                <w:rFonts w:ascii="Times New Roman" w:hAnsi="Times New Roman"/>
                <w:sz w:val="20"/>
              </w:rPr>
              <w:t>ƯU TIÊN 2</w:t>
            </w:r>
          </w:p>
        </w:tc>
        <w:tc>
          <w:tcPr>
            <w:tcW w:type="dxa" w:w="2422"/>
          </w:tcPr>
          <w:p>
            <w:r>
              <w:rPr>
                <w:rFonts w:ascii="Times New Roman" w:hAnsi="Times New Roman"/>
                <w:sz w:val="20"/>
              </w:rPr>
              <w:t>ESSA rút gọn 4 mục (như chương 3 luận án)</w:t>
            </w:r>
          </w:p>
        </w:tc>
        <w:tc>
          <w:tcPr>
            <w:tcW w:type="dxa" w:w="2422"/>
          </w:tcPr>
          <w:p>
            <w:r>
              <w:rPr>
                <w:rFonts w:ascii="Times New Roman" w:hAnsi="Times New Roman"/>
                <w:sz w:val="20"/>
              </w:rPr>
              <w:t>Ngắn gọn, dễ áp dụng; đã có data VN</w:t>
            </w:r>
          </w:p>
        </w:tc>
        <w:tc>
          <w:tcPr>
            <w:tcW w:type="dxa" w:w="2422"/>
          </w:tcPr>
          <w:p>
            <w:r>
              <w:rPr>
                <w:rFonts w:ascii="Times New Roman" w:hAnsi="Times New Roman"/>
                <w:sz w:val="20"/>
              </w:rPr>
              <w:t>Thiếu chiều Despondency</w:t>
            </w:r>
          </w:p>
        </w:tc>
      </w:tr>
      <w:tr>
        <w:tc>
          <w:tcPr>
            <w:tcW w:type="dxa" w:w="2422"/>
          </w:tcPr>
          <w:p>
            <w:r>
              <w:rPr>
                <w:rFonts w:ascii="Times New Roman" w:hAnsi="Times New Roman"/>
                <w:sz w:val="20"/>
              </w:rPr>
              <w:t>ƯU TIÊN 3</w:t>
            </w:r>
          </w:p>
        </w:tc>
        <w:tc>
          <w:tcPr>
            <w:tcW w:type="dxa" w:w="2422"/>
          </w:tcPr>
          <w:p>
            <w:r>
              <w:rPr>
                <w:rFonts w:ascii="Times New Roman" w:hAnsi="Times New Roman"/>
                <w:sz w:val="20"/>
              </w:rPr>
              <w:t>TAI (Spielberger 1980) 20 mục cho áp lực thi cử riêng</w:t>
            </w:r>
          </w:p>
        </w:tc>
        <w:tc>
          <w:tcPr>
            <w:tcW w:type="dxa" w:w="2422"/>
          </w:tcPr>
          <w:p>
            <w:r>
              <w:rPr>
                <w:rFonts w:ascii="Times New Roman" w:hAnsi="Times New Roman"/>
                <w:sz w:val="20"/>
              </w:rPr>
              <w:t>Chi tiết về test anxiety; phân chiều Worry vs Emotionality</w:t>
            </w:r>
          </w:p>
        </w:tc>
        <w:tc>
          <w:tcPr>
            <w:tcW w:type="dxa" w:w="2422"/>
          </w:tcPr>
          <w:p>
            <w:r>
              <w:rPr>
                <w:rFonts w:ascii="Times New Roman" w:hAnsi="Times New Roman"/>
                <w:sz w:val="20"/>
              </w:rPr>
              <w:t>Chỉ đo áp lực thi, bỏ qua kỳ vọng và workload</w:t>
            </w:r>
          </w:p>
        </w:tc>
      </w:tr>
    </w:tbl>
    <w:p>
      <w:pPr>
        <w:jc w:val="both"/>
      </w:pPr>
      <w:r>
        <w:rPr>
          <w:b w:val="0"/>
          <w:i w:val="0"/>
          <w:color w:val="000000"/>
          <w:sz w:val="24"/>
        </w:rPr>
      </w:r>
    </w:p>
    <w:p>
      <w:pPr>
        <w:jc w:val="both"/>
      </w:pPr>
      <w:r>
        <w:rPr>
          <w:b w:val="0"/>
          <w:i w:val="0"/>
          <w:color w:val="000000"/>
          <w:sz w:val="24"/>
        </w:rPr>
        <w:t>ĐỀ XUẤT 2 — Phân tích RIÊNG hiệu ứng từng chiều với lo âu. Dự kiến kết quả: áp lực thi β DƯƠNG mạnh; lo lắng điểm β DƯƠNG; kỳ vọng cha mẹ β DƯƠNG; tự kỳ vọng có thể U-NGƯỢC. Nếu kết quả khớp dự kiến, đây là bằng chứng VIỆT NAM bổ sung cho phát hiện quốc tế Pascoe 2020 + Sun 2011.</w:t>
      </w:r>
    </w:p>
    <w:p>
      <w:pPr>
        <w:jc w:val="both"/>
      </w:pPr>
      <w:r>
        <w:rPr>
          <w:b w:val="0"/>
          <w:i w:val="0"/>
          <w:color w:val="000000"/>
          <w:sz w:val="24"/>
        </w:rPr>
        <w:t>ĐỀ XUẤT 3 — Áp dụng SEM với biến tiềm ẩn đa chiều. Mô hình: ESSA 5 chiều → biến tiềm ẩn "Áp lực học tập" → lo âu. Cho phép kiểm định cấu trúc 5 nhân tố trên dữ liệu Việt Nam. So sánh với CHƯƠNG 3 luận án (chỉ dùng 4 mục) để thấy được tác động riêng của Despondency.</w:t>
      </w:r>
    </w:p>
    <w:p>
      <w:pPr>
        <w:jc w:val="both"/>
      </w:pPr>
      <w:r>
        <w:rPr>
          <w:b w:val="0"/>
          <w:i w:val="0"/>
          <w:color w:val="000000"/>
          <w:sz w:val="24"/>
        </w:rPr>
        <w:t>ĐỀ XUẤT 4 — Thiết kế CAN THIỆP ĐÍCH theo chiều con. Sau khi xác định chiều mạnh nhất, thiết kế can thiệp TƯƠNG ỨNG. Ví dụ: nếu kỳ vọng cha mẹ β CAO NHẤT → parent training; nếu áp lực thi cao nhất → kỹ năng quản lý thi; nếu workload cao nhất → can thiệp cấp trường.</w:t>
      </w:r>
    </w:p>
    <w:p>
      <w:r>
        <w:rPr>
          <w:b/>
          <w:color w:val="1F497D"/>
          <w:sz w:val="26"/>
        </w:rPr>
        <w:t>6. CÂU TRẢ LỜI</w:t>
      </w:r>
    </w:p>
    <w:p>
      <w:pPr>
        <w:jc w:val="both"/>
      </w:pPr>
      <w:r>
        <w:rPr>
          <w:b/>
          <w:i w:val="0"/>
          <w:color w:val="0070C0"/>
          <w:sz w:val="24"/>
        </w:rPr>
        <w:t>Tóm gọn:</w:t>
      </w:r>
    </w:p>
    <w:p>
      <w:pPr>
        <w:pStyle w:val="ListBullet"/>
      </w:pPr>
      <w:r>
        <w:rPr>
          <w:color w:val="0070C0"/>
          <w:sz w:val="24"/>
        </w:rPr>
        <w:t>CÓ — khái niệm "yếu tố học tập" trong VN004 RỘNG QUÁ. Tác giả gộp tất cả thành phần (áp lực thi, khối lượng bài tập, lo lắng điểm, kỳ vọng tự thân, kỳ vọng cha mẹ, định hướng tương lai) vào MỘT biến với r = 0,37 — không phân biệt được aspect nào mạnh nhất với lo âu.</w:t>
      </w:r>
    </w:p>
    <w:p>
      <w:pPr>
        <w:pStyle w:val="ListBullet"/>
      </w:pPr>
      <w:r>
        <w:rPr>
          <w:color w:val="0070C0"/>
          <w:sz w:val="24"/>
        </w:rPr>
        <w:t>Trái với VN004, Trần Thảo Vi và cộng sự (2024) trong Journal of Rural Medicine trên 611 học sinh trung học Huế đã sử dụng thang ESSA 16 mục chuẩn quốc tế — phân tách 5 chiều rõ ràng. Chương 3 luận án của thầy dùng ESSA rút gọn 4 mục — tốt hơn VN004 nhưng vẫn yếu hơn ESSA full.</w:t>
      </w:r>
    </w:p>
    <w:p>
      <w:pPr>
        <w:pStyle w:val="ListBullet"/>
      </w:pPr>
      <w:r>
        <w:rPr>
          <w:color w:val="0070C0"/>
          <w:sz w:val="24"/>
        </w:rPr>
        <w:t>Y văn quốc tế phân biệt 6 chiều con: áp lực thi cử / khối lượng bài tập / lo lắng điểm số / kỳ vọng tự thân / kỳ vọng cha mẹ / định hướng tương lai. Mỗi chiều có cơ chế và cường độ tác động khác nhau lên lo âu — gộp chung TRIỆT TIÊU phát hiện.</w:t>
      </w:r>
    </w:p>
    <w:p>
      <w:pPr>
        <w:pStyle w:val="ListBullet"/>
      </w:pPr>
      <w:r>
        <w:rPr>
          <w:color w:val="0070C0"/>
          <w:sz w:val="24"/>
        </w:rPr>
        <w:t>Bốn hậu quả của việc gộp: (1) không phân biệt được aspect mạnh nhất; (2) Top 3 biểu hiện (56,7%/51,5%/48,9%) chỉ là TẦN SUẤT, không phải PREDICTOR; (3) không so sánh được với y văn quốc tế; (4) không hướng dẫn được thiết kế can thiệp đích.</w:t>
      </w:r>
    </w:p>
    <w:p>
      <w:pPr>
        <w:pStyle w:val="ListBullet"/>
      </w:pPr>
      <w:r>
        <w:rPr>
          <w:color w:val="0070C0"/>
          <w:sz w:val="24"/>
        </w:rPr>
        <w:t>Đề xuất cho đề tài của thầy: dùng ESSA full 16 mục (Sun 2011) hoặc ESSA 4 mục (như chương 3); phân tích RIÊNG từng chiều với lo âu; SEM với biến tiềm ẩn đa chiều; thiết kế can thiệp đích theo chiều mạnh nhất.</w:t>
      </w:r>
    </w:p>
    <w:p>
      <w:pPr>
        <w:jc w:val="both"/>
      </w:pPr>
      <w:r>
        <w:rPr>
          <w:b/>
          <w:i w:val="0"/>
          <w:color w:val="0070C0"/>
          <w:sz w:val="24"/>
        </w:rPr>
        <w:t>Cách trích vào báo cáo CTH:</w:t>
      </w:r>
    </w:p>
    <w:p>
      <w:pPr>
        <w:jc w:val="both"/>
      </w:pPr>
      <w:r>
        <w:rPr>
          <w:b w:val="0"/>
          <w:i/>
          <w:color w:val="0070C0"/>
          <w:sz w:val="24"/>
        </w:rPr>
        <w:t>"Nguyễn Thị Vân (2020) khảo sát 558 học sinh THPT TPHCM và phát hiện nhóm yếu tố học tập có hệ số tương quan r = 0,37 với mức lo âu, đứng thứ hai sau yếu tố bản thân học sinh. Tuy nhiên, biến "yếu tố học tập" trong nghiên cứu được đo bằng bảng hỏi tự thiết kế chỉ một biến tổng hợp — không phân biệt các chiều con như áp lực thi cử, khối lượng bài tập, lo lắng điểm số, hay kỳ vọng cha mẹ. Trái với VN004, Trần Thảo Vi và cộng sự (2024) trong Journal of Rural Medicine đã sử dụng thang Educational Stress Scale for Adolescents (ESSA; Sun và cộng sự, 2011) gồm 16 mục với 5 chiều rõ ràng. Chương 3 luận án sử dụng ESSA rút gọn 4 mục — bao gồm áp lực bài tập, định hướng sự nghiệp tương lai, kỳ vọng cha mẹ, và áp lực kiểm tra. Mặc dù chi tiết hơn VN004, phiên bản rút gọn vẫn thiếu chiều "Despondency" (chán nản học tập) — một chiều cốt lõi theo Sun 2011. Khuyến nghị các nghiên cứu tiếp theo tại Việt Nam sử dụng ESSA full 16 mục kết hợp phân tích riêng từng chiều con với lo âu để xác định chiều mạnh nhất, tạo cơ sở cho can thiệp đích."</w:t>
      </w:r>
    </w:p>
    <w:p>
      <w:r>
        <w:rPr>
          <w:b/>
          <w:color w:val="1F497D"/>
          <w:sz w:val="26"/>
        </w:rPr>
        <w:t>7. Phụ lục — Tài liệu tham khảo</w:t>
      </w:r>
    </w:p>
    <w:p>
      <w:pPr>
        <w:ind w:left="567" w:hanging="567"/>
        <w:jc w:val="both"/>
      </w:pPr>
      <w:r>
        <w:rPr>
          <w:sz w:val="22"/>
        </w:rPr>
        <w:t>Cassady, J. C., &amp; Johnson, R. E. (2002). Cognitive test anxiety and academic performance. Contemporary Educational Psychology, 27(2), 270–295. https://doi.org/10.1006/ceps.2001.1094</w:t>
      </w:r>
    </w:p>
    <w:p>
      <w:pPr>
        <w:ind w:left="567" w:hanging="567"/>
        <w:jc w:val="both"/>
      </w:pPr>
      <w:r>
        <w:rPr>
          <w:sz w:val="22"/>
        </w:rPr>
        <w:t>Nguyễn, T. V. (2020). Mức độ lo âu của học sinh trung học phổ thông thành phố Hồ Chí Minh. [VN004 trong cơ sở dữ liệu dự án.]</w:t>
      </w:r>
    </w:p>
    <w:p>
      <w:pPr>
        <w:ind w:left="567" w:hanging="567"/>
        <w:jc w:val="both"/>
      </w:pPr>
      <w:r>
        <w:rPr>
          <w:sz w:val="22"/>
        </w:rPr>
        <w:t>Pascoe, M. C., Hetrick, S. E., &amp; Parker, A. G. (2020). The impact of stress on students in secondary school and higher education. International Journal of Adolescence and Youth, 25(1), 104–112. https://doi.org/10.1080/02673843.2019.1596823 [QT067 trong cơ sở dữ liệu dự án.]</w:t>
      </w:r>
    </w:p>
    <w:p>
      <w:pPr>
        <w:ind w:left="567" w:hanging="567"/>
        <w:jc w:val="both"/>
      </w:pPr>
      <w:r>
        <w:rPr>
          <w:sz w:val="22"/>
        </w:rPr>
        <w:t>Putwain, D. W. (2008). Examination stress and test anxiety. The Psychologist, 21(12), 1026–1029.</w:t>
      </w:r>
    </w:p>
    <w:p>
      <w:pPr>
        <w:ind w:left="567" w:hanging="567"/>
        <w:jc w:val="both"/>
      </w:pPr>
      <w:r>
        <w:rPr>
          <w:sz w:val="22"/>
        </w:rPr>
        <w:t>Spielberger, C. D. (1980). Test Anxiety Inventory: Preliminary professional manual. Palo Alto, CA: Consulting Psychologists Press.</w:t>
      </w:r>
    </w:p>
    <w:p>
      <w:pPr>
        <w:ind w:left="567" w:hanging="567"/>
        <w:jc w:val="both"/>
      </w:pPr>
      <w:r>
        <w:rPr>
          <w:sz w:val="22"/>
        </w:rPr>
        <w:t>Sun, J., Dunne, M. P., Hou, X. Y., &amp; Xu, A. Q. (2011). Educational Stress Scale for Adolescents: Development, validity, and reliability with Chinese students. Journal of Psychoeducational Assessment, 29(6), 534–546. https://doi.org/10.1177/0734282910394976</w:t>
      </w:r>
    </w:p>
    <w:p>
      <w:pPr>
        <w:ind w:left="567" w:hanging="567"/>
        <w:jc w:val="both"/>
      </w:pPr>
      <w:r>
        <w:rPr>
          <w:sz w:val="22"/>
        </w:rPr>
        <w:t>Tran, T. V., Nguyen, H. T. L., Tran, X. M. T., Tashiro, Y., Seino, K., Vo, T. V., &amp; Nakamura, K. (2024). Academic stress among students in Vietnam: A three-year longitudinal study on the impact of family, lifestyle, and academic factors. Journal of Rural Medicine, 19(4), 279–290. https://doi.org/10.2185/jrm.2024-012</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