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PHẢN BIỆN VN014 HOÀNG TRUNG HỌC (2025)</w:t>
        <w:br/>
        <w:t>KHÁI NIỆM "QUAN HỆ CHA MẸ-CON" CÓ RỘNG QUÁ KHÔNG?</w:t>
      </w:r>
    </w:p>
    <w:p>
      <w:pPr>
        <w:ind w:firstLine="567"/>
        <w:jc w:val="both"/>
      </w:pPr>
      <w:r>
        <w:rPr>
          <w:b w:val="0"/>
          <w:i w:val="0"/>
          <w:color w:val="000000"/>
          <w:sz w:val="24"/>
        </w:rPr>
      </w:r>
    </w:p>
    <w:p>
      <w:r>
        <w:rPr>
          <w:b/>
          <w:color w:val="1F497D"/>
          <w:sz w:val="26"/>
        </w:rPr>
        <w:t>Câu hỏi của thầy</w:t>
      </w:r>
    </w:p>
    <w:p>
      <w:pPr>
        <w:jc w:val="both"/>
      </w:pPr>
      <w:r>
        <w:rPr>
          <w:b w:val="0"/>
          <w:i/>
          <w:color w:val="0070C0"/>
          <w:sz w:val="24"/>
        </w:rPr>
        <w:t>Trong bài của ông Học thì quan hệ cha mẹ có rộng quá không?</w:t>
      </w:r>
    </w:p>
    <w:p>
      <w:r>
        <w:rPr>
          <w:b/>
          <w:color w:val="1F497D"/>
          <w:sz w:val="26"/>
        </w:rPr>
        <w:t>1. Khái niệm "quan hệ cha mẹ-con" trong VN014</w:t>
      </w:r>
    </w:p>
    <w:p>
      <w:pPr>
        <w:jc w:val="both"/>
      </w:pPr>
      <w:r>
        <w:rPr>
          <w:b w:val="0"/>
          <w:i w:val="0"/>
          <w:color w:val="000000"/>
          <w:sz w:val="24"/>
        </w:rPr>
        <w:t>Hoàng Trung Học và cộng sự (2025) trên 8.473 học sinh THCS-THPT tại 6 tỉnh Việt Nam (Đợt 1 trong COVID n = 4.052 / Đợt 2 sau COVID n = 4.337) sử dụng DASS-21 đo lo âu-trầm cảm-căng thẳng kết hợp BẢNG HỎI BỔ SUNG về giấc ngủ, sử dụng thiết bị điện tử, hoạt động thể chất, và "quan hệ gia đình".</w:t>
      </w:r>
    </w:p>
    <w:p>
      <w:pPr>
        <w:ind w:firstLine="567"/>
        <w:jc w:val="both"/>
      </w:pPr>
      <w:r>
        <w:rPr>
          <w:b w:val="0"/>
          <w:i w:val="0"/>
          <w:color w:val="000000"/>
          <w:sz w:val="24"/>
        </w:rPr>
        <w:t>Cụ thể về biến quan hệ cha mẹ-con trong báo cáo:</w:t>
      </w:r>
    </w:p>
    <w:tbl>
      <w:tblPr>
        <w:tblStyle w:val="LightGrid-Accent1"/>
        <w:tblW w:type="auto" w:w="0"/>
        <w:tblLook w:firstColumn="1" w:firstRow="1" w:lastColumn="0" w:lastRow="0" w:noHBand="0" w:noVBand="1" w:val="04A0"/>
      </w:tblPr>
      <w:tblGrid>
        <w:gridCol w:w="4844"/>
        <w:gridCol w:w="4844"/>
      </w:tblGrid>
      <w:tr>
        <w:tc>
          <w:tcPr>
            <w:tcW w:type="dxa" w:w="4844"/>
          </w:tcPr>
          <w:p>
            <w:r>
              <w:rPr>
                <w:rFonts w:ascii="Times New Roman" w:hAnsi="Times New Roman"/>
                <w:sz w:val="20"/>
              </w:rPr>
              <w:t>Đặc điểm</w:t>
            </w:r>
          </w:p>
        </w:tc>
        <w:tc>
          <w:tcPr>
            <w:tcW w:type="dxa" w:w="4844"/>
          </w:tcPr>
          <w:p>
            <w:r>
              <w:rPr>
                <w:rFonts w:ascii="Times New Roman" w:hAnsi="Times New Roman"/>
                <w:sz w:val="20"/>
              </w:rPr>
              <w:t>VN014 H.T. Học (2025)</w:t>
            </w:r>
          </w:p>
        </w:tc>
      </w:tr>
      <w:tr>
        <w:tc>
          <w:tcPr>
            <w:tcW w:type="dxa" w:w="4844"/>
          </w:tcPr>
          <w:p>
            <w:r>
              <w:rPr>
                <w:rFonts w:ascii="Times New Roman" w:hAnsi="Times New Roman"/>
                <w:sz w:val="20"/>
              </w:rPr>
              <w:t>Tên biến</w:t>
            </w:r>
          </w:p>
        </w:tc>
        <w:tc>
          <w:tcPr>
            <w:tcW w:type="dxa" w:w="4844"/>
          </w:tcPr>
          <w:p>
            <w:r>
              <w:rPr>
                <w:rFonts w:ascii="Times New Roman" w:hAnsi="Times New Roman"/>
                <w:sz w:val="20"/>
              </w:rPr>
              <w:t>"Tính chất mối quan hệ với cha mẹ"</w:t>
            </w:r>
          </w:p>
        </w:tc>
      </w:tr>
      <w:tr>
        <w:tc>
          <w:tcPr>
            <w:tcW w:type="dxa" w:w="4844"/>
          </w:tcPr>
          <w:p>
            <w:r>
              <w:rPr>
                <w:rFonts w:ascii="Times New Roman" w:hAnsi="Times New Roman"/>
                <w:sz w:val="20"/>
              </w:rPr>
              <w:t>Hệ số ảnh hưởng</w:t>
            </w:r>
          </w:p>
        </w:tc>
        <w:tc>
          <w:tcPr>
            <w:tcW w:type="dxa" w:w="4844"/>
          </w:tcPr>
          <w:p>
            <w:r>
              <w:rPr>
                <w:rFonts w:ascii="Times New Roman" w:hAnsi="Times New Roman"/>
                <w:sz w:val="20"/>
              </w:rPr>
              <w:t>β = 0,272 (mạnh nhất trong mô hình)</w:t>
            </w:r>
          </w:p>
        </w:tc>
      </w:tr>
      <w:tr>
        <w:tc>
          <w:tcPr>
            <w:tcW w:type="dxa" w:w="4844"/>
          </w:tcPr>
          <w:p>
            <w:r>
              <w:rPr>
                <w:rFonts w:ascii="Times New Roman" w:hAnsi="Times New Roman"/>
                <w:sz w:val="20"/>
              </w:rPr>
              <w:t>Thang đo</w:t>
            </w:r>
          </w:p>
        </w:tc>
        <w:tc>
          <w:tcPr>
            <w:tcW w:type="dxa" w:w="4844"/>
          </w:tcPr>
          <w:p>
            <w:r>
              <w:rPr>
                <w:rFonts w:ascii="Times New Roman" w:hAnsi="Times New Roman"/>
                <w:sz w:val="20"/>
              </w:rPr>
              <w:t>Bảng hỏi bổ sung tự thiết kế (không nêu rõ thang chuẩn)</w:t>
            </w:r>
          </w:p>
        </w:tc>
      </w:tr>
      <w:tr>
        <w:tc>
          <w:tcPr>
            <w:tcW w:type="dxa" w:w="4844"/>
          </w:tcPr>
          <w:p>
            <w:r>
              <w:rPr>
                <w:rFonts w:ascii="Times New Roman" w:hAnsi="Times New Roman"/>
                <w:sz w:val="20"/>
              </w:rPr>
              <w:t>Số mục</w:t>
            </w:r>
          </w:p>
        </w:tc>
        <w:tc>
          <w:tcPr>
            <w:tcW w:type="dxa" w:w="4844"/>
          </w:tcPr>
          <w:p>
            <w:r>
              <w:rPr>
                <w:rFonts w:ascii="Times New Roman" w:hAnsi="Times New Roman"/>
                <w:sz w:val="20"/>
              </w:rPr>
              <w:t>Không công bố cụ thể</w:t>
            </w:r>
          </w:p>
        </w:tc>
      </w:tr>
      <w:tr>
        <w:tc>
          <w:tcPr>
            <w:tcW w:type="dxa" w:w="4844"/>
          </w:tcPr>
          <w:p>
            <w:r>
              <w:rPr>
                <w:rFonts w:ascii="Times New Roman" w:hAnsi="Times New Roman"/>
                <w:sz w:val="20"/>
              </w:rPr>
              <w:t>Số chiều phân biệt</w:t>
            </w:r>
          </w:p>
        </w:tc>
        <w:tc>
          <w:tcPr>
            <w:tcW w:type="dxa" w:w="4844"/>
          </w:tcPr>
          <w:p>
            <w:r>
              <w:rPr>
                <w:rFonts w:ascii="Times New Roman" w:hAnsi="Times New Roman"/>
                <w:sz w:val="20"/>
              </w:rPr>
              <w:t>CHỈ MỘT — gộp tất cả vào 1 biến</w:t>
            </w:r>
          </w:p>
        </w:tc>
      </w:tr>
      <w:tr>
        <w:tc>
          <w:tcPr>
            <w:tcW w:type="dxa" w:w="4844"/>
          </w:tcPr>
          <w:p>
            <w:r>
              <w:rPr>
                <w:rFonts w:ascii="Times New Roman" w:hAnsi="Times New Roman"/>
                <w:sz w:val="20"/>
              </w:rPr>
              <w:t>Phong cách nuôi dạy</w:t>
            </w:r>
          </w:p>
        </w:tc>
        <w:tc>
          <w:tcPr>
            <w:tcW w:type="dxa" w:w="4844"/>
          </w:tcPr>
          <w:p>
            <w:r>
              <w:rPr>
                <w:rFonts w:ascii="Times New Roman" w:hAnsi="Times New Roman"/>
                <w:sz w:val="20"/>
              </w:rPr>
              <w:t>Không phân biệt</w:t>
            </w:r>
          </w:p>
        </w:tc>
      </w:tr>
      <w:tr>
        <w:tc>
          <w:tcPr>
            <w:tcW w:type="dxa" w:w="4844"/>
          </w:tcPr>
          <w:p>
            <w:r>
              <w:rPr>
                <w:rFonts w:ascii="Times New Roman" w:hAnsi="Times New Roman"/>
                <w:sz w:val="20"/>
              </w:rPr>
              <w:t>Kiểm soát tâm lý vs hành vi</w:t>
            </w:r>
          </w:p>
        </w:tc>
        <w:tc>
          <w:tcPr>
            <w:tcW w:type="dxa" w:w="4844"/>
          </w:tcPr>
          <w:p>
            <w:r>
              <w:rPr>
                <w:rFonts w:ascii="Times New Roman" w:hAnsi="Times New Roman"/>
                <w:sz w:val="20"/>
              </w:rPr>
              <w:t>Không phân biệt</w:t>
            </w:r>
          </w:p>
        </w:tc>
      </w:tr>
      <w:tr>
        <w:tc>
          <w:tcPr>
            <w:tcW w:type="dxa" w:w="4844"/>
          </w:tcPr>
          <w:p>
            <w:r>
              <w:rPr>
                <w:rFonts w:ascii="Times New Roman" w:hAnsi="Times New Roman"/>
                <w:sz w:val="20"/>
              </w:rPr>
              <w:t>Sự ấm áp vs mâu thuẫn</w:t>
            </w:r>
          </w:p>
        </w:tc>
        <w:tc>
          <w:tcPr>
            <w:tcW w:type="dxa" w:w="4844"/>
          </w:tcPr>
          <w:p>
            <w:r>
              <w:rPr>
                <w:rFonts w:ascii="Times New Roman" w:hAnsi="Times New Roman"/>
                <w:sz w:val="20"/>
              </w:rPr>
              <w:t>Không phân biệt</w:t>
            </w:r>
          </w:p>
        </w:tc>
      </w:tr>
      <w:tr>
        <w:tc>
          <w:tcPr>
            <w:tcW w:type="dxa" w:w="4844"/>
          </w:tcPr>
          <w:p>
            <w:r>
              <w:rPr>
                <w:rFonts w:ascii="Times New Roman" w:hAnsi="Times New Roman"/>
                <w:sz w:val="20"/>
              </w:rPr>
              <w:t>Giao tiếp / gắn bó</w:t>
            </w:r>
          </w:p>
        </w:tc>
        <w:tc>
          <w:tcPr>
            <w:tcW w:type="dxa" w:w="4844"/>
          </w:tcPr>
          <w:p>
            <w:r>
              <w:rPr>
                <w:rFonts w:ascii="Times New Roman" w:hAnsi="Times New Roman"/>
                <w:sz w:val="20"/>
              </w:rPr>
              <w:t>Không phân biệt</w:t>
            </w:r>
          </w:p>
        </w:tc>
      </w:tr>
    </w:tbl>
    <w:p>
      <w:pPr>
        <w:ind w:firstLine="567"/>
        <w:jc w:val="both"/>
      </w:pPr>
      <w:r>
        <w:rPr>
          <w:b w:val="0"/>
          <w:i w:val="0"/>
          <w:color w:val="000000"/>
          <w:sz w:val="24"/>
        </w:rPr>
      </w:r>
    </w:p>
    <w:p>
      <w:pPr>
        <w:ind w:firstLine="567"/>
        <w:jc w:val="both"/>
      </w:pPr>
      <w:r>
        <w:rPr>
          <w:b w:val="0"/>
          <w:i w:val="0"/>
          <w:color w:val="000000"/>
          <w:sz w:val="24"/>
        </w:rPr>
        <w:t>Như vậy, β = 0,272 trong VN014 đại diện cho TÁC ĐỘNG TỔNG HỢP của TẤT CẢ các thành phần của quan hệ cha mẹ-con — KHÔNG biết thành phần NÀO mới là yếu tố BẢO VỆ thực sự, thành phần NÀO mới là yếu tố NGUY CƠ.</w:t>
      </w:r>
    </w:p>
    <w:p>
      <w:r>
        <w:rPr>
          <w:b/>
          <w:color w:val="1F497D"/>
          <w:sz w:val="26"/>
        </w:rPr>
        <w:t>2. So sánh với chuẩn quốc tế — VN014 đo TÁC ĐỘNG TỔNG, không phân tách</w:t>
      </w:r>
    </w:p>
    <w:p>
      <w:pPr>
        <w:jc w:val="both"/>
      </w:pPr>
      <w:r>
        <w:rPr>
          <w:b w:val="0"/>
          <w:i w:val="0"/>
          <w:color w:val="000000"/>
          <w:sz w:val="24"/>
        </w:rPr>
        <w:t>Y văn quốc tế đã từ lâu phân biệt nhiều CHIỀU CON của quan hệ cha mẹ-con. Bảng dưới đây tổng hợp năm thang đo chuẩn được sử dụng nhiều nhất.</w:t>
      </w:r>
    </w:p>
    <w:p>
      <w:pPr>
        <w:jc w:val="center"/>
      </w:pPr>
      <w:r>
        <w:rPr>
          <w:b/>
          <w:sz w:val="22"/>
        </w:rPr>
        <w:t>Bảng 1. Năm thang đo chuẩn quốc tế cho quan hệ cha mẹ-con</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sz w:val="20"/>
              </w:rPr>
              <w:t>Thang đo</w:t>
            </w:r>
          </w:p>
        </w:tc>
        <w:tc>
          <w:tcPr>
            <w:tcW w:type="dxa" w:w="2422"/>
          </w:tcPr>
          <w:p>
            <w:r>
              <w:rPr>
                <w:rFonts w:ascii="Times New Roman" w:hAnsi="Times New Roman"/>
                <w:sz w:val="20"/>
              </w:rPr>
              <w:t>Tác giả gốc</w:t>
            </w:r>
          </w:p>
        </w:tc>
        <w:tc>
          <w:tcPr>
            <w:tcW w:type="dxa" w:w="2422"/>
          </w:tcPr>
          <w:p>
            <w:r>
              <w:rPr>
                <w:rFonts w:ascii="Times New Roman" w:hAnsi="Times New Roman"/>
                <w:sz w:val="20"/>
              </w:rPr>
              <w:t>Số mục</w:t>
            </w:r>
          </w:p>
        </w:tc>
        <w:tc>
          <w:tcPr>
            <w:tcW w:type="dxa" w:w="2422"/>
          </w:tcPr>
          <w:p>
            <w:r>
              <w:rPr>
                <w:rFonts w:ascii="Times New Roman" w:hAnsi="Times New Roman"/>
                <w:sz w:val="20"/>
              </w:rPr>
              <w:t>Số chiều</w:t>
            </w:r>
          </w:p>
        </w:tc>
      </w:tr>
      <w:tr>
        <w:tc>
          <w:tcPr>
            <w:tcW w:type="dxa" w:w="2422"/>
          </w:tcPr>
          <w:p>
            <w:r>
              <w:rPr>
                <w:rFonts w:ascii="Times New Roman" w:hAnsi="Times New Roman"/>
                <w:sz w:val="20"/>
              </w:rPr>
              <w:t>EMBU (My Memories of Upbringing)</w:t>
            </w:r>
          </w:p>
        </w:tc>
        <w:tc>
          <w:tcPr>
            <w:tcW w:type="dxa" w:w="2422"/>
          </w:tcPr>
          <w:p>
            <w:r>
              <w:rPr>
                <w:rFonts w:ascii="Times New Roman" w:hAnsi="Times New Roman"/>
                <w:sz w:val="20"/>
              </w:rPr>
              <w:t>Perris và cộng sự (1980)</w:t>
            </w:r>
          </w:p>
        </w:tc>
        <w:tc>
          <w:tcPr>
            <w:tcW w:type="dxa" w:w="2422"/>
          </w:tcPr>
          <w:p>
            <w:r>
              <w:rPr>
                <w:rFonts w:ascii="Times New Roman" w:hAnsi="Times New Roman"/>
                <w:sz w:val="20"/>
              </w:rPr>
              <w:t>81</w:t>
            </w:r>
          </w:p>
        </w:tc>
        <w:tc>
          <w:tcPr>
            <w:tcW w:type="dxa" w:w="2422"/>
          </w:tcPr>
          <w:p>
            <w:r>
              <w:rPr>
                <w:rFonts w:ascii="Times New Roman" w:hAnsi="Times New Roman"/>
                <w:sz w:val="20"/>
              </w:rPr>
              <w:t>15 tiểu thang</w:t>
            </w:r>
          </w:p>
        </w:tc>
      </w:tr>
      <w:tr>
        <w:tc>
          <w:tcPr>
            <w:tcW w:type="dxa" w:w="2422"/>
          </w:tcPr>
          <w:p>
            <w:r>
              <w:rPr>
                <w:rFonts w:ascii="Times New Roman" w:hAnsi="Times New Roman"/>
                <w:sz w:val="20"/>
              </w:rPr>
              <w:t>s-EMBU (rút gọn)</w:t>
            </w:r>
          </w:p>
        </w:tc>
        <w:tc>
          <w:tcPr>
            <w:tcW w:type="dxa" w:w="2422"/>
          </w:tcPr>
          <w:p>
            <w:r>
              <w:rPr>
                <w:rFonts w:ascii="Times New Roman" w:hAnsi="Times New Roman"/>
                <w:sz w:val="20"/>
              </w:rPr>
              <w:t>Arrindell và cộng sự (1999)</w:t>
            </w:r>
          </w:p>
        </w:tc>
        <w:tc>
          <w:tcPr>
            <w:tcW w:type="dxa" w:w="2422"/>
          </w:tcPr>
          <w:p>
            <w:r>
              <w:rPr>
                <w:rFonts w:ascii="Times New Roman" w:hAnsi="Times New Roman"/>
                <w:sz w:val="20"/>
              </w:rPr>
              <w:t>23–69</w:t>
            </w:r>
          </w:p>
        </w:tc>
        <w:tc>
          <w:tcPr>
            <w:tcW w:type="dxa" w:w="2422"/>
          </w:tcPr>
          <w:p>
            <w:r>
              <w:rPr>
                <w:rFonts w:ascii="Times New Roman" w:hAnsi="Times New Roman"/>
                <w:sz w:val="20"/>
              </w:rPr>
              <w:t>3 (rejection / emotional warmth / overprotection)</w:t>
            </w:r>
          </w:p>
        </w:tc>
      </w:tr>
      <w:tr>
        <w:tc>
          <w:tcPr>
            <w:tcW w:type="dxa" w:w="2422"/>
          </w:tcPr>
          <w:p>
            <w:r>
              <w:rPr>
                <w:rFonts w:ascii="Times New Roman" w:hAnsi="Times New Roman"/>
                <w:sz w:val="20"/>
              </w:rPr>
              <w:t>EMBU phiên bản 9 chiều</w:t>
            </w:r>
          </w:p>
        </w:tc>
        <w:tc>
          <w:tcPr>
            <w:tcW w:type="dxa" w:w="2422"/>
          </w:tcPr>
          <w:p>
            <w:r>
              <w:rPr>
                <w:rFonts w:ascii="Times New Roman" w:hAnsi="Times New Roman"/>
                <w:sz w:val="20"/>
              </w:rPr>
              <w:t>Bản Trung Quốc — Qiu 2022 dùng</w:t>
            </w:r>
          </w:p>
        </w:tc>
        <w:tc>
          <w:tcPr>
            <w:tcW w:type="dxa" w:w="2422"/>
          </w:tcPr>
          <w:p>
            <w:r>
              <w:rPr>
                <w:rFonts w:ascii="Times New Roman" w:hAnsi="Times New Roman"/>
                <w:sz w:val="20"/>
              </w:rPr>
              <w:t>~58</w:t>
            </w:r>
          </w:p>
        </w:tc>
        <w:tc>
          <w:tcPr>
            <w:tcW w:type="dxa" w:w="2422"/>
          </w:tcPr>
          <w:p>
            <w:r>
              <w:rPr>
                <w:rFonts w:ascii="Times New Roman" w:hAnsi="Times New Roman"/>
                <w:sz w:val="20"/>
              </w:rPr>
              <w:t>9</w:t>
            </w:r>
          </w:p>
        </w:tc>
      </w:tr>
      <w:tr>
        <w:tc>
          <w:tcPr>
            <w:tcW w:type="dxa" w:w="2422"/>
          </w:tcPr>
          <w:p>
            <w:r>
              <w:rPr>
                <w:rFonts w:ascii="Times New Roman" w:hAnsi="Times New Roman"/>
                <w:sz w:val="20"/>
              </w:rPr>
              <w:t>PARQ (Parental Acceptance-Rejection Q.)</w:t>
            </w:r>
          </w:p>
        </w:tc>
        <w:tc>
          <w:tcPr>
            <w:tcW w:type="dxa" w:w="2422"/>
          </w:tcPr>
          <w:p>
            <w:r>
              <w:rPr>
                <w:rFonts w:ascii="Times New Roman" w:hAnsi="Times New Roman"/>
                <w:sz w:val="20"/>
              </w:rPr>
              <w:t>Rohner (1976/1980); bản trưởng thành</w:t>
            </w:r>
          </w:p>
        </w:tc>
        <w:tc>
          <w:tcPr>
            <w:tcW w:type="dxa" w:w="2422"/>
          </w:tcPr>
          <w:p>
            <w:r>
              <w:rPr>
                <w:rFonts w:ascii="Times New Roman" w:hAnsi="Times New Roman"/>
                <w:sz w:val="20"/>
              </w:rPr>
              <w:t>60</w:t>
            </w:r>
          </w:p>
        </w:tc>
        <w:tc>
          <w:tcPr>
            <w:tcW w:type="dxa" w:w="2422"/>
          </w:tcPr>
          <w:p>
            <w:r>
              <w:rPr>
                <w:rFonts w:ascii="Times New Roman" w:hAnsi="Times New Roman"/>
                <w:sz w:val="20"/>
              </w:rPr>
              <w:t>4 (warmth / hostility / indifference / undifferentiated rejection)</w:t>
            </w:r>
          </w:p>
        </w:tc>
      </w:tr>
      <w:tr>
        <w:tc>
          <w:tcPr>
            <w:tcW w:type="dxa" w:w="2422"/>
          </w:tcPr>
          <w:p>
            <w:r>
              <w:rPr>
                <w:rFonts w:ascii="Times New Roman" w:hAnsi="Times New Roman"/>
                <w:sz w:val="20"/>
              </w:rPr>
              <w:t>PSDQ (Parenting Styles &amp; Dimensions)</w:t>
            </w:r>
          </w:p>
        </w:tc>
        <w:tc>
          <w:tcPr>
            <w:tcW w:type="dxa" w:w="2422"/>
          </w:tcPr>
          <w:p>
            <w:r>
              <w:rPr>
                <w:rFonts w:ascii="Times New Roman" w:hAnsi="Times New Roman"/>
                <w:sz w:val="20"/>
              </w:rPr>
              <w:t>Robinson và cộng sự (2001)</w:t>
            </w:r>
          </w:p>
        </w:tc>
        <w:tc>
          <w:tcPr>
            <w:tcW w:type="dxa" w:w="2422"/>
          </w:tcPr>
          <w:p>
            <w:r>
              <w:rPr>
                <w:rFonts w:ascii="Times New Roman" w:hAnsi="Times New Roman"/>
                <w:sz w:val="20"/>
              </w:rPr>
              <w:t>32</w:t>
            </w:r>
          </w:p>
        </w:tc>
        <w:tc>
          <w:tcPr>
            <w:tcW w:type="dxa" w:w="2422"/>
          </w:tcPr>
          <w:p>
            <w:r>
              <w:rPr>
                <w:rFonts w:ascii="Times New Roman" w:hAnsi="Times New Roman"/>
                <w:sz w:val="20"/>
              </w:rPr>
              <w:t>3 (authoritative / authoritarian / permissive)</w:t>
            </w:r>
          </w:p>
        </w:tc>
      </w:tr>
      <w:tr>
        <w:tc>
          <w:tcPr>
            <w:tcW w:type="dxa" w:w="2422"/>
          </w:tcPr>
          <w:p>
            <w:r>
              <w:rPr>
                <w:rFonts w:ascii="Times New Roman" w:hAnsi="Times New Roman"/>
                <w:sz w:val="20"/>
              </w:rPr>
              <w:t>PBI (Parental Bonding Instrument)</w:t>
            </w:r>
          </w:p>
        </w:tc>
        <w:tc>
          <w:tcPr>
            <w:tcW w:type="dxa" w:w="2422"/>
          </w:tcPr>
          <w:p>
            <w:r>
              <w:rPr>
                <w:rFonts w:ascii="Times New Roman" w:hAnsi="Times New Roman"/>
                <w:sz w:val="20"/>
              </w:rPr>
              <w:t>Parker và cộng sự (1979)</w:t>
            </w:r>
          </w:p>
        </w:tc>
        <w:tc>
          <w:tcPr>
            <w:tcW w:type="dxa" w:w="2422"/>
          </w:tcPr>
          <w:p>
            <w:r>
              <w:rPr>
                <w:rFonts w:ascii="Times New Roman" w:hAnsi="Times New Roman"/>
                <w:sz w:val="20"/>
              </w:rPr>
              <w:t>25</w:t>
            </w:r>
          </w:p>
        </w:tc>
        <w:tc>
          <w:tcPr>
            <w:tcW w:type="dxa" w:w="2422"/>
          </w:tcPr>
          <w:p>
            <w:r>
              <w:rPr>
                <w:rFonts w:ascii="Times New Roman" w:hAnsi="Times New Roman"/>
                <w:sz w:val="20"/>
              </w:rPr>
              <w:t>2 (care / overprotection)</w:t>
            </w:r>
          </w:p>
        </w:tc>
      </w:tr>
      <w:tr>
        <w:tc>
          <w:tcPr>
            <w:tcW w:type="dxa" w:w="2422"/>
          </w:tcPr>
          <w:p>
            <w:r>
              <w:rPr>
                <w:rFonts w:ascii="Times New Roman" w:hAnsi="Times New Roman"/>
                <w:sz w:val="20"/>
              </w:rPr>
              <w:t>CRPBI (Children's Report of Parental Behavior)</w:t>
            </w:r>
          </w:p>
        </w:tc>
        <w:tc>
          <w:tcPr>
            <w:tcW w:type="dxa" w:w="2422"/>
          </w:tcPr>
          <w:p>
            <w:r>
              <w:rPr>
                <w:rFonts w:ascii="Times New Roman" w:hAnsi="Times New Roman"/>
                <w:sz w:val="20"/>
              </w:rPr>
              <w:t>Schaefer (1965); bản rút gọn</w:t>
            </w:r>
          </w:p>
        </w:tc>
        <w:tc>
          <w:tcPr>
            <w:tcW w:type="dxa" w:w="2422"/>
          </w:tcPr>
          <w:p>
            <w:r>
              <w:rPr>
                <w:rFonts w:ascii="Times New Roman" w:hAnsi="Times New Roman"/>
                <w:sz w:val="20"/>
              </w:rPr>
              <w:t>30</w:t>
            </w:r>
          </w:p>
        </w:tc>
        <w:tc>
          <w:tcPr>
            <w:tcW w:type="dxa" w:w="2422"/>
          </w:tcPr>
          <w:p>
            <w:r>
              <w:rPr>
                <w:rFonts w:ascii="Times New Roman" w:hAnsi="Times New Roman"/>
                <w:sz w:val="20"/>
              </w:rPr>
              <w:t>3 (acceptance / control / autonomy)</w:t>
            </w:r>
          </w:p>
        </w:tc>
      </w:tr>
    </w:tbl>
    <w:p>
      <w:pPr>
        <w:ind w:firstLine="567"/>
        <w:jc w:val="both"/>
      </w:pPr>
      <w:r>
        <w:rPr>
          <w:b w:val="0"/>
          <w:i w:val="0"/>
          <w:color w:val="000000"/>
          <w:sz w:val="24"/>
        </w:rPr>
      </w:r>
    </w:p>
    <w:p>
      <w:pPr>
        <w:ind w:firstLine="567"/>
        <w:jc w:val="both"/>
      </w:pPr>
      <w:r>
        <w:rPr>
          <w:b w:val="0"/>
          <w:i w:val="0"/>
          <w:color w:val="000000"/>
          <w:sz w:val="24"/>
        </w:rPr>
        <w:t>Trái với VN014, các nghiên cứu quốc tế và một số nghiên cứu Việt Nam đã PHÂN TÁCH chiều con của quan hệ cha mẹ — và phát hiện hệ số tác động riêng cho từng chiều. Hai ví dụ tiêu biểu:</w:t>
      </w:r>
    </w:p>
    <w:p>
      <w:pPr>
        <w:ind w:firstLine="567"/>
        <w:jc w:val="both"/>
      </w:pPr>
      <w:r>
        <w:rPr>
          <w:b w:val="0"/>
          <w:i w:val="0"/>
          <w:color w:val="000000"/>
          <w:sz w:val="24"/>
        </w:rPr>
        <w:t>Thứ nhất, Phạm và cộng sự (2024) — VN003 trong cơ sở dữ liệu — khảo sát 273 + 273 thanh thiếu niên tại các cơ sở hỗ trợ xã hội Huế đã PHÂN TÁCH chăm sóc CẢM XÚC khỏi chăm sóc THỂ CHẤT. Kết quả: chăm sóc cảm xúc β = −0,40 (P &lt; 0,001) — bảo vệ MẠNH cho sức khỏe tâm thần; chăm sóc thể chất KHÔNG có tác động ý nghĩa. Nói cách khác, hai chiều con của "chăm sóc" có tác động TRÁI ngược nhau về cường độ — gộp chung sẽ làm mờ phát hiện.</w:t>
      </w:r>
    </w:p>
    <w:p>
      <w:pPr>
        <w:ind w:firstLine="567"/>
        <w:jc w:val="both"/>
      </w:pPr>
      <w:r>
        <w:rPr>
          <w:b w:val="0"/>
          <w:i w:val="0"/>
          <w:color w:val="000000"/>
          <w:sz w:val="24"/>
        </w:rPr>
        <w:t>Thứ hai, Qiu và cộng sự (2022) — QT009 trong cơ sở dữ liệu — trên 2.079 học sinh THCS Trung Quốc sử dụng EMBU bản 9 chiều, sau đó áp dụng phân tích hồ sơ tiềm ẩn (latent profile analysis) để xác định BA HỒ SƠ NUÔI DẠY: tích cực (58,6%), trung bình (32,2%), tiêu cực (9,1%). Hồ sơ tích cực giảm nguy cơ trầm cảm 70% (OR = 0,30) và lo âu 68% (OR = 0,32) so với hồ sơ tiêu cực. Phù hợp với nguyên tắc PHÂN BIỆT chiều con của ứng phó do Compas và cộng sự (2017) thiết lập trên 80.850 trẻ em + vị thành niên.</w:t>
      </w:r>
    </w:p>
    <w:p>
      <w:r>
        <w:rPr>
          <w:b/>
          <w:color w:val="1F497D"/>
          <w:sz w:val="26"/>
        </w:rPr>
        <w:t>3. Sáu chiều con của "quan hệ cha mẹ-con" bị VN014 gộp chung</w:t>
      </w:r>
    </w:p>
    <w:p>
      <w:pPr>
        <w:jc w:val="both"/>
      </w:pPr>
      <w:r>
        <w:rPr>
          <w:b w:val="0"/>
          <w:i w:val="0"/>
          <w:color w:val="000000"/>
          <w:sz w:val="24"/>
        </w:rPr>
        <w:t>Y văn quốc tế phân biệt ít nhất sáu chiều con — TRÁI ngược nhau về tác động lên lo âu vị thành niên:</w:t>
      </w:r>
    </w:p>
    <w:p>
      <w:pPr>
        <w:jc w:val="center"/>
      </w:pPr>
      <w:r>
        <w:rPr>
          <w:b/>
          <w:sz w:val="22"/>
        </w:rPr>
        <w:t>Bảng 2. Sáu chiều con của "quan hệ cha mẹ-con" và tác động dự kiến với lo âu</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sz w:val="20"/>
              </w:rPr>
              <w:t>#</w:t>
            </w:r>
          </w:p>
        </w:tc>
        <w:tc>
          <w:tcPr>
            <w:tcW w:type="dxa" w:w="2422"/>
          </w:tcPr>
          <w:p>
            <w:r>
              <w:rPr>
                <w:rFonts w:ascii="Times New Roman" w:hAnsi="Times New Roman"/>
                <w:sz w:val="20"/>
              </w:rPr>
              <w:t>Chiều con</w:t>
            </w:r>
          </w:p>
        </w:tc>
        <w:tc>
          <w:tcPr>
            <w:tcW w:type="dxa" w:w="2422"/>
          </w:tcPr>
          <w:p>
            <w:r>
              <w:rPr>
                <w:rFonts w:ascii="Times New Roman" w:hAnsi="Times New Roman"/>
                <w:sz w:val="20"/>
              </w:rPr>
              <w:t>Tác động dự kiến với lo âu</w:t>
            </w:r>
          </w:p>
        </w:tc>
        <w:tc>
          <w:tcPr>
            <w:tcW w:type="dxa" w:w="2422"/>
          </w:tcPr>
          <w:p>
            <w:r>
              <w:rPr>
                <w:rFonts w:ascii="Times New Roman" w:hAnsi="Times New Roman"/>
                <w:sz w:val="20"/>
              </w:rPr>
              <w:t>Bằng chứng tham chiếu</w:t>
            </w:r>
          </w:p>
        </w:tc>
      </w:tr>
      <w:tr>
        <w:tc>
          <w:tcPr>
            <w:tcW w:type="dxa" w:w="2422"/>
          </w:tcPr>
          <w:p>
            <w:r>
              <w:rPr>
                <w:rFonts w:ascii="Times New Roman" w:hAnsi="Times New Roman"/>
                <w:sz w:val="20"/>
              </w:rPr>
              <w:t>1</w:t>
            </w:r>
          </w:p>
        </w:tc>
        <w:tc>
          <w:tcPr>
            <w:tcW w:type="dxa" w:w="2422"/>
          </w:tcPr>
          <w:p>
            <w:r>
              <w:rPr>
                <w:rFonts w:ascii="Times New Roman" w:hAnsi="Times New Roman"/>
                <w:sz w:val="20"/>
              </w:rPr>
              <w:t>Sự ấm áp / chăm sóc cảm xúc (warmth, emotional care)</w:t>
            </w:r>
          </w:p>
        </w:tc>
        <w:tc>
          <w:tcPr>
            <w:tcW w:type="dxa" w:w="2422"/>
          </w:tcPr>
          <w:p>
            <w:r>
              <w:rPr>
                <w:rFonts w:ascii="Times New Roman" w:hAnsi="Times New Roman"/>
                <w:sz w:val="20"/>
              </w:rPr>
              <w:t>β ÂM mạnh — bảo vệ</w:t>
            </w:r>
          </w:p>
        </w:tc>
        <w:tc>
          <w:tcPr>
            <w:tcW w:type="dxa" w:w="2422"/>
          </w:tcPr>
          <w:p>
            <w:r>
              <w:rPr>
                <w:rFonts w:ascii="Times New Roman" w:hAnsi="Times New Roman"/>
                <w:sz w:val="20"/>
              </w:rPr>
              <w:t>Phạm 2024 β = −0,40; Qiu 2022 OR = 0,32</w:t>
            </w:r>
          </w:p>
        </w:tc>
      </w:tr>
      <w:tr>
        <w:tc>
          <w:tcPr>
            <w:tcW w:type="dxa" w:w="2422"/>
          </w:tcPr>
          <w:p>
            <w:r>
              <w:rPr>
                <w:rFonts w:ascii="Times New Roman" w:hAnsi="Times New Roman"/>
                <w:sz w:val="20"/>
              </w:rPr>
              <w:t>2</w:t>
            </w:r>
          </w:p>
        </w:tc>
        <w:tc>
          <w:tcPr>
            <w:tcW w:type="dxa" w:w="2422"/>
          </w:tcPr>
          <w:p>
            <w:r>
              <w:rPr>
                <w:rFonts w:ascii="Times New Roman" w:hAnsi="Times New Roman"/>
                <w:sz w:val="20"/>
              </w:rPr>
              <w:t>Kiểm soát tâm lý (psychological control: gây tội lỗi, rút tình cảm)</w:t>
            </w:r>
          </w:p>
        </w:tc>
        <w:tc>
          <w:tcPr>
            <w:tcW w:type="dxa" w:w="2422"/>
          </w:tcPr>
          <w:p>
            <w:r>
              <w:rPr>
                <w:rFonts w:ascii="Times New Roman" w:hAnsi="Times New Roman"/>
                <w:sz w:val="20"/>
              </w:rPr>
              <w:t>β DƯƠNG — yếu tố nguy cơ</w:t>
            </w:r>
          </w:p>
        </w:tc>
        <w:tc>
          <w:tcPr>
            <w:tcW w:type="dxa" w:w="2422"/>
          </w:tcPr>
          <w:p>
            <w:r>
              <w:rPr>
                <w:rFonts w:ascii="Times New Roman" w:hAnsi="Times New Roman"/>
                <w:sz w:val="20"/>
              </w:rPr>
              <w:t>Barber 1996; Soenens &amp; Vansteenkiste 2010</w:t>
            </w:r>
          </w:p>
        </w:tc>
      </w:tr>
      <w:tr>
        <w:tc>
          <w:tcPr>
            <w:tcW w:type="dxa" w:w="2422"/>
          </w:tcPr>
          <w:p>
            <w:r>
              <w:rPr>
                <w:rFonts w:ascii="Times New Roman" w:hAnsi="Times New Roman"/>
                <w:sz w:val="20"/>
              </w:rPr>
              <w:t>3</w:t>
            </w:r>
          </w:p>
        </w:tc>
        <w:tc>
          <w:tcPr>
            <w:tcW w:type="dxa" w:w="2422"/>
          </w:tcPr>
          <w:p>
            <w:r>
              <w:rPr>
                <w:rFonts w:ascii="Times New Roman" w:hAnsi="Times New Roman"/>
                <w:sz w:val="20"/>
              </w:rPr>
              <w:t>Kiểm soát hành vi (behavioral control: giám sát, đặt quy tắc)</w:t>
            </w:r>
          </w:p>
        </w:tc>
        <w:tc>
          <w:tcPr>
            <w:tcW w:type="dxa" w:w="2422"/>
          </w:tcPr>
          <w:p>
            <w:r>
              <w:rPr>
                <w:rFonts w:ascii="Times New Roman" w:hAnsi="Times New Roman"/>
                <w:sz w:val="20"/>
              </w:rPr>
              <w:t>β trung tính / ÂM nhẹ</w:t>
            </w:r>
          </w:p>
        </w:tc>
        <w:tc>
          <w:tcPr>
            <w:tcW w:type="dxa" w:w="2422"/>
          </w:tcPr>
          <w:p>
            <w:r>
              <w:rPr>
                <w:rFonts w:ascii="Times New Roman" w:hAnsi="Times New Roman"/>
                <w:sz w:val="20"/>
              </w:rPr>
              <w:t>Pinquart 2017</w:t>
            </w:r>
          </w:p>
        </w:tc>
      </w:tr>
      <w:tr>
        <w:tc>
          <w:tcPr>
            <w:tcW w:type="dxa" w:w="2422"/>
          </w:tcPr>
          <w:p>
            <w:r>
              <w:rPr>
                <w:rFonts w:ascii="Times New Roman" w:hAnsi="Times New Roman"/>
                <w:sz w:val="20"/>
              </w:rPr>
              <w:t>4</w:t>
            </w:r>
          </w:p>
        </w:tc>
        <w:tc>
          <w:tcPr>
            <w:tcW w:type="dxa" w:w="2422"/>
          </w:tcPr>
          <w:p>
            <w:r>
              <w:rPr>
                <w:rFonts w:ascii="Times New Roman" w:hAnsi="Times New Roman"/>
                <w:sz w:val="20"/>
              </w:rPr>
              <w:t>Mâu thuẫn cha mẹ-con (parent-child conflict)</w:t>
            </w:r>
          </w:p>
        </w:tc>
        <w:tc>
          <w:tcPr>
            <w:tcW w:type="dxa" w:w="2422"/>
          </w:tcPr>
          <w:p>
            <w:r>
              <w:rPr>
                <w:rFonts w:ascii="Times New Roman" w:hAnsi="Times New Roman"/>
                <w:sz w:val="20"/>
              </w:rPr>
              <w:t>β DƯƠNG mạnh — nguy cơ</w:t>
            </w:r>
          </w:p>
        </w:tc>
        <w:tc>
          <w:tcPr>
            <w:tcW w:type="dxa" w:w="2422"/>
          </w:tcPr>
          <w:p>
            <w:r>
              <w:rPr>
                <w:rFonts w:ascii="Times New Roman" w:hAnsi="Times New Roman"/>
                <w:sz w:val="20"/>
              </w:rPr>
              <w:t>Smetana 2011</w:t>
            </w:r>
          </w:p>
        </w:tc>
      </w:tr>
      <w:tr>
        <w:tc>
          <w:tcPr>
            <w:tcW w:type="dxa" w:w="2422"/>
          </w:tcPr>
          <w:p>
            <w:r>
              <w:rPr>
                <w:rFonts w:ascii="Times New Roman" w:hAnsi="Times New Roman"/>
                <w:sz w:val="20"/>
              </w:rPr>
              <w:t>5</w:t>
            </w:r>
          </w:p>
        </w:tc>
        <w:tc>
          <w:tcPr>
            <w:tcW w:type="dxa" w:w="2422"/>
          </w:tcPr>
          <w:p>
            <w:r>
              <w:rPr>
                <w:rFonts w:ascii="Times New Roman" w:hAnsi="Times New Roman"/>
                <w:sz w:val="20"/>
              </w:rPr>
              <w:t>Giao tiếp cha mẹ-con cởi mở (parent-child communication)</w:t>
            </w:r>
          </w:p>
        </w:tc>
        <w:tc>
          <w:tcPr>
            <w:tcW w:type="dxa" w:w="2422"/>
          </w:tcPr>
          <w:p>
            <w:r>
              <w:rPr>
                <w:rFonts w:ascii="Times New Roman" w:hAnsi="Times New Roman"/>
                <w:sz w:val="20"/>
              </w:rPr>
              <w:t>β ÂM — bảo vệ</w:t>
            </w:r>
          </w:p>
        </w:tc>
        <w:tc>
          <w:tcPr>
            <w:tcW w:type="dxa" w:w="2422"/>
          </w:tcPr>
          <w:p>
            <w:r>
              <w:rPr>
                <w:rFonts w:ascii="Times New Roman" w:hAnsi="Times New Roman"/>
                <w:sz w:val="20"/>
              </w:rPr>
              <w:t>Liu 2024</w:t>
            </w:r>
          </w:p>
        </w:tc>
      </w:tr>
      <w:tr>
        <w:tc>
          <w:tcPr>
            <w:tcW w:type="dxa" w:w="2422"/>
          </w:tcPr>
          <w:p>
            <w:r>
              <w:rPr>
                <w:rFonts w:ascii="Times New Roman" w:hAnsi="Times New Roman"/>
                <w:sz w:val="20"/>
              </w:rPr>
              <w:t>6</w:t>
            </w:r>
          </w:p>
        </w:tc>
        <w:tc>
          <w:tcPr>
            <w:tcW w:type="dxa" w:w="2422"/>
          </w:tcPr>
          <w:p>
            <w:r>
              <w:rPr>
                <w:rFonts w:ascii="Times New Roman" w:hAnsi="Times New Roman"/>
                <w:sz w:val="20"/>
              </w:rPr>
              <w:t>Gắn bó / sự gần gũi (attachment, closeness)</w:t>
            </w:r>
          </w:p>
        </w:tc>
        <w:tc>
          <w:tcPr>
            <w:tcW w:type="dxa" w:w="2422"/>
          </w:tcPr>
          <w:p>
            <w:r>
              <w:rPr>
                <w:rFonts w:ascii="Times New Roman" w:hAnsi="Times New Roman"/>
                <w:sz w:val="20"/>
              </w:rPr>
              <w:t>β ÂM — bảo vệ</w:t>
            </w:r>
          </w:p>
        </w:tc>
        <w:tc>
          <w:tcPr>
            <w:tcW w:type="dxa" w:w="2422"/>
          </w:tcPr>
          <w:p>
            <w:r>
              <w:rPr>
                <w:rFonts w:ascii="Times New Roman" w:hAnsi="Times New Roman"/>
                <w:sz w:val="20"/>
              </w:rPr>
              <w:t>Bowlby 1969 / Allen 2008</w:t>
            </w:r>
          </w:p>
        </w:tc>
      </w:tr>
    </w:tbl>
    <w:p>
      <w:pPr>
        <w:ind w:firstLine="567"/>
        <w:jc w:val="both"/>
      </w:pPr>
      <w:r>
        <w:rPr>
          <w:b w:val="0"/>
          <w:i w:val="0"/>
          <w:color w:val="000000"/>
          <w:sz w:val="24"/>
        </w:rPr>
      </w:r>
    </w:p>
    <w:p>
      <w:pPr>
        <w:ind w:firstLine="567"/>
        <w:jc w:val="both"/>
      </w:pPr>
      <w:r>
        <w:rPr>
          <w:b w:val="0"/>
          <w:i w:val="0"/>
          <w:color w:val="000000"/>
          <w:sz w:val="24"/>
        </w:rPr>
        <w:t>Hai luận điểm quan trọng từ bảng trên. Thứ nhất, sáu chiều con có ĐỘ MẠNH và CHIỀU TÁC ĐỘNG khác nhau — gộp chúng vào 1 biến TRIỆT TIÊU lẫn nhau. Thứ hai, gộp chung có thể tạo ra hệ số tổng hợp THẤP HƠN giá trị thực của từng chiều con — ví dụ β = 0,272 của VN014 có thể "giấu" β = −0,40 hoặc thậm chí mạnh hơn của riêng "sự ấm áp" — và "giấu" β DƯƠNG của riêng "mâu thuẫn".</w:t>
      </w:r>
    </w:p>
    <w:p>
      <w:r>
        <w:rPr>
          <w:b/>
          <w:color w:val="1F497D"/>
          <w:sz w:val="26"/>
        </w:rPr>
        <w:t>4. Bốn hậu quả phương pháp luận</w:t>
      </w:r>
    </w:p>
    <w:p>
      <w:pPr>
        <w:jc w:val="both"/>
      </w:pPr>
      <w:r>
        <w:rPr>
          <w:b w:val="0"/>
          <w:i w:val="0"/>
          <w:color w:val="000000"/>
          <w:sz w:val="24"/>
        </w:rPr>
        <w:t>Việc gộp tất cả thành 1 biến gây ra bốn hậu quả nghiêm trọng cho giá trị khoa học của VN014.</w:t>
      </w:r>
    </w:p>
    <w:p>
      <w:r>
        <w:rPr>
          <w:b/>
          <w:color w:val="000000"/>
          <w:sz w:val="24"/>
        </w:rPr>
        <w:t>4.1. Hệ số β = 0,272 KHÔNG phân biệt được aspect bảo vệ vs aspect nguy cơ</w:t>
      </w:r>
    </w:p>
    <w:p>
      <w:pPr>
        <w:jc w:val="both"/>
      </w:pPr>
      <w:r>
        <w:rPr>
          <w:b w:val="0"/>
          <w:i w:val="0"/>
          <w:color w:val="000000"/>
          <w:sz w:val="24"/>
        </w:rPr>
        <w:t>Khi β = 0,272 cho biết "quan hệ cha mẹ tốt thì lo âu giảm" — nhưng không trả lời được: cha mẹ phải làm GÌ để "tốt"? Tăng sự ấm áp? Giảm kiểm soát tâm lý? Cải thiện giao tiếp? Giảm mâu thuẫn? Mỗi can thiệp khác nhau cho mỗi chiều con. Hệ số tổng không hướng dẫn được thực hành.</w:t>
      </w:r>
    </w:p>
    <w:p>
      <w:r>
        <w:rPr>
          <w:b/>
          <w:color w:val="000000"/>
          <w:sz w:val="24"/>
        </w:rPr>
        <w:t>4.2. Không so sánh trực tiếp được với y văn quốc tế</w:t>
      </w:r>
    </w:p>
    <w:p>
      <w:pPr>
        <w:jc w:val="both"/>
      </w:pPr>
      <w:r>
        <w:rPr>
          <w:b w:val="0"/>
          <w:i w:val="0"/>
          <w:color w:val="000000"/>
          <w:sz w:val="24"/>
        </w:rPr>
        <w:t>β = 0,272 từ thang tự thiết kế của VN014 KHÔNG so sánh được với β = −0,40 của Phạm 2024 (chăm sóc cảm xúc), OR = 0,30 của Qiu 2022 (hồ sơ nuôi dạy tích cực), hay các phát hiện EMBU/PARQ trong y văn quốc tế. Khoảng cách so sánh này làm giảm giá trị đóng góp của VN014 cho y văn — bài chỉ "đóng góp số liệu Việt Nam" mà không cho phép so sánh hệ số.</w:t>
      </w:r>
    </w:p>
    <w:p>
      <w:r>
        <w:rPr>
          <w:b/>
          <w:color w:val="000000"/>
          <w:sz w:val="24"/>
        </w:rPr>
        <w:t>4.3. Không hướng dẫn được thiết kế can thiệp</w:t>
      </w:r>
    </w:p>
    <w:p>
      <w:pPr>
        <w:jc w:val="both"/>
      </w:pPr>
      <w:r>
        <w:rPr>
          <w:b w:val="0"/>
          <w:i w:val="0"/>
          <w:color w:val="000000"/>
          <w:sz w:val="24"/>
        </w:rPr>
        <w:t>Khuyến nghị "đào tạo kỹ năng cha mẹ" trong VN014 quá chung chung. Đào tạo cha mẹ về CHIỀU CON nào? Mô hình EACP (Lochman 2025) đào tạo 16 buổi 90 phút cho cha mẹ — TỪNG buổi nhắm vào kỹ năng cụ thể (giải quyết xung đột, củng cố hành vi tích cực, lắng nghe phản chiếu). Không có phân tách chiều con thì không có can thiệp đích.</w:t>
      </w:r>
    </w:p>
    <w:p>
      <w:r>
        <w:rPr>
          <w:b/>
          <w:color w:val="000000"/>
          <w:sz w:val="24"/>
        </w:rPr>
        <w:t>4.4. Có thể phóng đại hoặc thu nhỏ tác động thực sự</w:t>
      </w:r>
    </w:p>
    <w:p>
      <w:pPr>
        <w:jc w:val="both"/>
      </w:pPr>
      <w:r>
        <w:rPr>
          <w:b w:val="0"/>
          <w:i w:val="0"/>
          <w:color w:val="000000"/>
          <w:sz w:val="24"/>
        </w:rPr>
        <w:t>Hệ số tổng hợp có rủi ro thiên lệch theo HƯỚNG NGẪU NHIÊN tùy nội dung của bảng hỏi tự thiết kế. Nếu các mục thiên về "sự ấm áp" — hệ số sẽ phản ánh chủ yếu chiều này. Nếu thiên về "mâu thuẫn" — chiều ngược lại. Không có cách kiểm tra do bảng hỏi không công bố. Đây là vấn đề về độ giá trị (validity) chứ không chỉ độ chi tiết.</w:t>
      </w:r>
    </w:p>
    <w:p>
      <w:r>
        <w:rPr>
          <w:b/>
          <w:color w:val="1F497D"/>
          <w:sz w:val="26"/>
        </w:rPr>
        <w:t>5. Đề xuất cho thiết kế nghiên cứu mới</w:t>
      </w:r>
    </w:p>
    <w:p>
      <w:pPr>
        <w:jc w:val="both"/>
      </w:pPr>
      <w:r>
        <w:rPr>
          <w:b w:val="0"/>
          <w:i w:val="0"/>
          <w:color w:val="000000"/>
          <w:sz w:val="24"/>
        </w:rPr>
        <w:t>Đề tài của thầy có thể LẤP KHOẢNG TRỐNG này bằng cách đo "quan hệ cha mẹ-con" theo nhiều chiều ngay từ thiết kế.</w:t>
      </w:r>
    </w:p>
    <w:p>
      <w:pPr>
        <w:ind w:firstLine="567"/>
        <w:jc w:val="both"/>
      </w:pPr>
      <w:r>
        <w:rPr>
          <w:b w:val="0"/>
          <w:i w:val="0"/>
          <w:color w:val="000000"/>
          <w:sz w:val="24"/>
        </w:rPr>
        <w:t>KHUYẾN NGHỊ 1 — Chọn thang chuẩn quốc tế. Ba lựa chọn ưu tiên cho học sinh THCS Việt Nam:</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sz w:val="20"/>
              </w:rPr>
              <w:t>Lựa chọn</w:t>
            </w:r>
          </w:p>
        </w:tc>
        <w:tc>
          <w:tcPr>
            <w:tcW w:type="dxa" w:w="2422"/>
          </w:tcPr>
          <w:p>
            <w:r>
              <w:rPr>
                <w:rFonts w:ascii="Times New Roman" w:hAnsi="Times New Roman"/>
                <w:sz w:val="20"/>
              </w:rPr>
              <w:t>Thang</w:t>
            </w:r>
          </w:p>
        </w:tc>
        <w:tc>
          <w:tcPr>
            <w:tcW w:type="dxa" w:w="2422"/>
          </w:tcPr>
          <w:p>
            <w:r>
              <w:rPr>
                <w:rFonts w:ascii="Times New Roman" w:hAnsi="Times New Roman"/>
                <w:sz w:val="20"/>
              </w:rPr>
              <w:t>Ưu điểm</w:t>
            </w:r>
          </w:p>
        </w:tc>
        <w:tc>
          <w:tcPr>
            <w:tcW w:type="dxa" w:w="2422"/>
          </w:tcPr>
          <w:p>
            <w:r>
              <w:rPr>
                <w:rFonts w:ascii="Times New Roman" w:hAnsi="Times New Roman"/>
                <w:sz w:val="20"/>
              </w:rPr>
              <w:t>Nhược điểm</w:t>
            </w:r>
          </w:p>
        </w:tc>
      </w:tr>
      <w:tr>
        <w:tc>
          <w:tcPr>
            <w:tcW w:type="dxa" w:w="2422"/>
          </w:tcPr>
          <w:p>
            <w:r>
              <w:rPr>
                <w:rFonts w:ascii="Times New Roman" w:hAnsi="Times New Roman"/>
                <w:sz w:val="20"/>
              </w:rPr>
              <w:t>ƯU TIÊN 1</w:t>
            </w:r>
          </w:p>
        </w:tc>
        <w:tc>
          <w:tcPr>
            <w:tcW w:type="dxa" w:w="2422"/>
          </w:tcPr>
          <w:p>
            <w:r>
              <w:rPr>
                <w:rFonts w:ascii="Times New Roman" w:hAnsi="Times New Roman"/>
                <w:sz w:val="20"/>
              </w:rPr>
              <w:t>PARQ trẻ em (Rohner 1976/2005), 60 mục, 4 chiều</w:t>
            </w:r>
          </w:p>
        </w:tc>
        <w:tc>
          <w:tcPr>
            <w:tcW w:type="dxa" w:w="2422"/>
          </w:tcPr>
          <w:p>
            <w:r>
              <w:rPr>
                <w:rFonts w:ascii="Times New Roman" w:hAnsi="Times New Roman"/>
                <w:sz w:val="20"/>
              </w:rPr>
              <w:t>Đã được sử dụng tại 60+ quốc gia; có bản trẻ em + bản trưởng thành; α = 0,89</w:t>
            </w:r>
          </w:p>
        </w:tc>
        <w:tc>
          <w:tcPr>
            <w:tcW w:type="dxa" w:w="2422"/>
          </w:tcPr>
          <w:p>
            <w:r>
              <w:rPr>
                <w:rFonts w:ascii="Times New Roman" w:hAnsi="Times New Roman"/>
                <w:sz w:val="20"/>
              </w:rPr>
              <w:t>Cần dịch + chuẩn hóa cho VN</w:t>
            </w:r>
          </w:p>
        </w:tc>
      </w:tr>
      <w:tr>
        <w:tc>
          <w:tcPr>
            <w:tcW w:type="dxa" w:w="2422"/>
          </w:tcPr>
          <w:p>
            <w:r>
              <w:rPr>
                <w:rFonts w:ascii="Times New Roman" w:hAnsi="Times New Roman"/>
                <w:sz w:val="20"/>
              </w:rPr>
              <w:t>ƯU TIÊN 2</w:t>
            </w:r>
          </w:p>
        </w:tc>
        <w:tc>
          <w:tcPr>
            <w:tcW w:type="dxa" w:w="2422"/>
          </w:tcPr>
          <w:p>
            <w:r>
              <w:rPr>
                <w:rFonts w:ascii="Times New Roman" w:hAnsi="Times New Roman"/>
                <w:sz w:val="20"/>
              </w:rPr>
              <w:t>s-EMBU (Arrindell 1999), 23 mục, 3 chiều</w:t>
            </w:r>
          </w:p>
        </w:tc>
        <w:tc>
          <w:tcPr>
            <w:tcW w:type="dxa" w:w="2422"/>
          </w:tcPr>
          <w:p>
            <w:r>
              <w:rPr>
                <w:rFonts w:ascii="Times New Roman" w:hAnsi="Times New Roman"/>
                <w:sz w:val="20"/>
              </w:rPr>
              <w:t>Rút gọn, dễ áp dụng; bản tiếng TQ + Tây Ban Nha sẵn</w:t>
            </w:r>
          </w:p>
        </w:tc>
        <w:tc>
          <w:tcPr>
            <w:tcW w:type="dxa" w:w="2422"/>
          </w:tcPr>
          <w:p>
            <w:r>
              <w:rPr>
                <w:rFonts w:ascii="Times New Roman" w:hAnsi="Times New Roman"/>
                <w:sz w:val="20"/>
              </w:rPr>
              <w:t>Chỉ 3 chiều — kém chi tiết hơn PARQ</w:t>
            </w:r>
          </w:p>
        </w:tc>
      </w:tr>
      <w:tr>
        <w:tc>
          <w:tcPr>
            <w:tcW w:type="dxa" w:w="2422"/>
          </w:tcPr>
          <w:p>
            <w:r>
              <w:rPr>
                <w:rFonts w:ascii="Times New Roman" w:hAnsi="Times New Roman"/>
                <w:sz w:val="20"/>
              </w:rPr>
              <w:t>ƯU TIÊN 3</w:t>
            </w:r>
          </w:p>
        </w:tc>
        <w:tc>
          <w:tcPr>
            <w:tcW w:type="dxa" w:w="2422"/>
          </w:tcPr>
          <w:p>
            <w:r>
              <w:rPr>
                <w:rFonts w:ascii="Times New Roman" w:hAnsi="Times New Roman"/>
                <w:sz w:val="20"/>
              </w:rPr>
              <w:t>PBI (Parker 1979), 25 mục, 2 chiều (care + overprotection)</w:t>
            </w:r>
          </w:p>
        </w:tc>
        <w:tc>
          <w:tcPr>
            <w:tcW w:type="dxa" w:w="2422"/>
          </w:tcPr>
          <w:p>
            <w:r>
              <w:rPr>
                <w:rFonts w:ascii="Times New Roman" w:hAnsi="Times New Roman"/>
                <w:sz w:val="20"/>
              </w:rPr>
              <w:t>Ngắn, nhanh; nhiều bài VN đã dùng</w:t>
            </w:r>
          </w:p>
        </w:tc>
        <w:tc>
          <w:tcPr>
            <w:tcW w:type="dxa" w:w="2422"/>
          </w:tcPr>
          <w:p>
            <w:r>
              <w:rPr>
                <w:rFonts w:ascii="Times New Roman" w:hAnsi="Times New Roman"/>
                <w:sz w:val="20"/>
              </w:rPr>
              <w:t>2 chiều — bỏ sót giao tiếp, mâu thuẫn</w:t>
            </w:r>
          </w:p>
        </w:tc>
      </w:tr>
    </w:tbl>
    <w:p>
      <w:pPr>
        <w:ind w:firstLine="567"/>
        <w:jc w:val="both"/>
      </w:pPr>
      <w:r>
        <w:rPr>
          <w:b w:val="0"/>
          <w:i w:val="0"/>
          <w:color w:val="000000"/>
          <w:sz w:val="24"/>
        </w:rPr>
      </w:r>
    </w:p>
    <w:p>
      <w:pPr>
        <w:ind w:firstLine="567"/>
        <w:jc w:val="both"/>
      </w:pPr>
      <w:r>
        <w:rPr>
          <w:b w:val="0"/>
          <w:i w:val="0"/>
          <w:color w:val="000000"/>
          <w:sz w:val="24"/>
        </w:rPr>
        <w:t>KHUYẾN NGHỊ 2 — Phân tích RIÊNG hiệu ứng từng chiều với lo âu. Dự kiến kết quả phù hợp y văn quốc tế: ấm áp β ÂM mạnh; kiểm soát tâm lý β DƯƠNG; mâu thuẫn β DƯƠNG; giao tiếp β ÂM. Nếu kết quả khớp dự kiến, đây là bằng chứng VIỆT NAM bổ sung cho phát hiện quốc tế của Phạm 2024 + Qiu 2022.</w:t>
      </w:r>
    </w:p>
    <w:p>
      <w:pPr>
        <w:ind w:firstLine="567"/>
        <w:jc w:val="both"/>
      </w:pPr>
      <w:r>
        <w:rPr>
          <w:b w:val="0"/>
          <w:i w:val="0"/>
          <w:color w:val="000000"/>
          <w:sz w:val="24"/>
        </w:rPr>
        <w:t>KHUYẾN NGHỊ 3 — Áp dụng phân tích hồ sơ tiềm ẩn (LPA) như Qiu và cộng sự (2022). Sau khi đo PARQ/EMBU, áp dụng LPA để xác định 3–4 hồ sơ nuôi dạy phổ biến trong dân số học sinh THCS Việt Nam. So sánh tỷ lệ hồ sơ tích cực-trung bình-tiêu cực với Trung Quốc Qiu 2022 (58,6% / 32,2% / 9,1%) — kỳ vọng tỷ lệ Việt Nam tương đương hoặc thấp hơn do tác động COVID + áp lực học tập.</w:t>
      </w:r>
    </w:p>
    <w:p>
      <w:pPr>
        <w:ind w:firstLine="567"/>
        <w:jc w:val="both"/>
      </w:pPr>
      <w:r>
        <w:rPr>
          <w:b w:val="0"/>
          <w:i w:val="0"/>
          <w:color w:val="000000"/>
          <w:sz w:val="24"/>
        </w:rPr>
        <w:t>KHUYẾN NGHỊ 4 — Thiết kế can thiệp ĐÍCH theo chiều con. Theo mô hình EACP (Lochman 2025): 16 buổi cha mẹ — chia theo nhóm chiều con cần cải thiện. Cha mẹ có "ấm áp thấp" → buổi tăng sự ấm áp; cha mẹ "kiểm soát tâm lý cao" → buổi giảm kiểm soát; cha mẹ "mâu thuẫn cao" → buổi giải quyết xung đột. Khác biệt với approach chung chung của VN014.</w:t>
      </w:r>
    </w:p>
    <w:p>
      <w:r>
        <w:rPr>
          <w:b/>
          <w:color w:val="1F497D"/>
          <w:sz w:val="26"/>
        </w:rPr>
        <w:t>6. CÂU TRẢ LỜI</w:t>
      </w:r>
    </w:p>
    <w:p>
      <w:pPr>
        <w:jc w:val="both"/>
      </w:pPr>
      <w:r>
        <w:rPr>
          <w:b/>
          <w:i w:val="0"/>
          <w:color w:val="0070C0"/>
          <w:sz w:val="24"/>
        </w:rPr>
        <w:t>Tóm gọn:</w:t>
      </w:r>
    </w:p>
    <w:p>
      <w:pPr>
        <w:pStyle w:val="ListBullet"/>
      </w:pPr>
      <w:r>
        <w:rPr>
          <w:color w:val="0070C0"/>
          <w:sz w:val="24"/>
        </w:rPr>
        <w:t>CÓ — khái niệm "quan hệ cha mẹ-con" trong VN014 RỘNG QUÁ. Tác giả gộp tất cả thành phần (sự ấm áp, kiểm soát tâm lý, kiểm soát hành vi, mâu thuẫn, giao tiếp, gắn bó) vào MỘT biến với β = 0,272 — không phân biệt được thành phần nào bảo vệ, thành phần nào nguy cơ.</w:t>
      </w:r>
    </w:p>
    <w:p>
      <w:pPr>
        <w:pStyle w:val="ListBullet"/>
      </w:pPr>
      <w:r>
        <w:rPr>
          <w:color w:val="0070C0"/>
          <w:sz w:val="24"/>
        </w:rPr>
        <w:t>Trái với VN014, Phạm và cộng sự (2024) đã tách chăm sóc CẢM XÚC khỏi chăm sóc THỂ CHẤT — phát hiện cảm xúc β = −0,40 (P &lt; 0,001) trong khi thể chất KHÔNG có ý nghĩa. Qiu và cộng sự (2022) dùng EMBU 9 chiều + LPA — xác định ba hồ sơ nuôi dạy với OR khác nhau rõ rệt.</w:t>
      </w:r>
    </w:p>
    <w:p>
      <w:pPr>
        <w:pStyle w:val="ListBullet"/>
      </w:pPr>
      <w:r>
        <w:rPr>
          <w:color w:val="0070C0"/>
          <w:sz w:val="24"/>
        </w:rPr>
        <w:t>Y văn quốc tế phân biệt ít nhất 6 chiều con: ấm áp / kiểm soát tâm lý / kiểm soát hành vi / mâu thuẫn / giao tiếp / gắn bó. Sáu chiều có tác động TRÁI ngược nhau lên lo âu — gộp chung TRIỆT TIÊU phát hiện.</w:t>
      </w:r>
    </w:p>
    <w:p>
      <w:pPr>
        <w:pStyle w:val="ListBullet"/>
      </w:pPr>
      <w:r>
        <w:rPr>
          <w:color w:val="0070C0"/>
          <w:sz w:val="24"/>
        </w:rPr>
        <w:t>Bốn hậu quả của việc gộp: (1) không phân biệt được aspect bảo vệ vs nguy cơ; (2) không so sánh được với y văn quốc tế; (3) không hướng dẫn được thiết kế can thiệp đích; (4) hệ số có thể thiên lệch tùy nội dung bảng hỏi không công bố.</w:t>
      </w:r>
    </w:p>
    <w:p>
      <w:pPr>
        <w:pStyle w:val="ListBullet"/>
      </w:pPr>
      <w:r>
        <w:rPr>
          <w:color w:val="0070C0"/>
          <w:sz w:val="24"/>
        </w:rPr>
        <w:t>Đề xuất cho đề tài của thầy: dùng PARQ (Rohner, 60 mục, 4 chiều — ưu tiên 1) hoặc s-EMBU (23 mục, 3 chiều — ưu tiên 2) hoặc PBI (25 mục, 2 chiều — ưu tiên 3); phân tích RIÊNG từng chiều với lo âu; áp dụng LPA để xác định hồ sơ nuôi dạy.</w:t>
      </w:r>
    </w:p>
    <w:p>
      <w:pPr>
        <w:jc w:val="both"/>
      </w:pPr>
      <w:r>
        <w:rPr>
          <w:b/>
          <w:i w:val="0"/>
          <w:color w:val="0070C0"/>
          <w:sz w:val="24"/>
        </w:rPr>
        <w:t>Cách trích vào báo cáo CTH:</w:t>
      </w:r>
    </w:p>
    <w:p>
      <w:pPr>
        <w:jc w:val="both"/>
      </w:pPr>
      <w:r>
        <w:rPr>
          <w:b w:val="0"/>
          <w:i/>
          <w:color w:val="0070C0"/>
          <w:sz w:val="24"/>
        </w:rPr>
        <w:t>"Hoàng Trung Học và cộng sự (2025) khảo sát 8.473 học sinh tại 6 tỉnh Việt Nam, phát hiện quan hệ cha mẹ-con là yếu tố mạnh nhất ảnh hưởng lo âu (β = 0,272). Tuy nhiên, biến "quan hệ cha mẹ-con" trong nghiên cứu được đo bằng bảng hỏi tự thiết kế chỉ một biến tổng hợp — không phân biệt các chiều con như sự ấm áp, kiểm soát tâm lý, mâu thuẫn, hay giao tiếp. Trái với VN014, Phạm và cộng sự (2024) tại Huế đã phân tách chăm sóc cảm xúc khỏi chăm sóc thể chất — phát hiện cảm xúc β = −0,40 (P &lt; 0,001) trong khi thể chất KHÔNG có ý nghĩa thống kê. Tương tự, Qiu và cộng sự (2022) tại Trung Quốc dùng thang EMBU đa chiều kết hợp phân tích hồ sơ tiềm ẩn để xác định ba hồ sơ nuôi dạy với OR khác nhau rõ rệt. Khuyến nghị nghiên cứu tiếp theo tại Việt Nam sử dụng các thang chuẩn quốc tế đa chiều — như PARQ (Rohner, 60 mục, 4 chiều) hoặc s-EMBU (Arrindell, 23 mục, 3 chiều) — kết hợp phân tích riêng từng chiều con với lo âu để xác định thành phần bảo vệ cụ thể, tạo cơ sở cho can thiệp đích."</w:t>
      </w:r>
    </w:p>
    <w:p>
      <w:r>
        <w:rPr>
          <w:b/>
          <w:color w:val="1F497D"/>
          <w:sz w:val="26"/>
        </w:rPr>
        <w:t>7. Phụ lục — Tài liệu tham khảo</w:t>
      </w:r>
    </w:p>
    <w:p>
      <w:pPr>
        <w:ind w:left="567" w:hanging="567"/>
        <w:jc w:val="both"/>
      </w:pPr>
      <w:r>
        <w:rPr>
          <w:sz w:val="22"/>
        </w:rPr>
        <w:t>Arrindell, W. A., Sanavio, E., Aguilar, G., Sica, C., Hatzichristou, C., Eisemann, M., Recinos, L. A., Gaszner, P., Peter, M., Battagliese, G., Kállai, J., &amp; van der Ende, J. (1999). The development of a short form of the EMBU: Its appraisal with students in Greece, Guatemala, Hungary and Italy. Personality and Individual Differences, 27(4), 613–628.</w:t>
      </w:r>
    </w:p>
    <w:p>
      <w:pPr>
        <w:ind w:left="567" w:hanging="567"/>
        <w:jc w:val="both"/>
      </w:pPr>
      <w:r>
        <w:rPr>
          <w:sz w:val="22"/>
        </w:rPr>
        <w:t>Compas, B. E., Jaser, S. S., Bettis, A. H., Watson, K. H., Gruhn, M. A., Dunbar, J. P., Williams, E., &amp; Thigpen, J. C. (2017). Coping, emotion regulation, and psychopathology in childhood and adolescence: A meta-analysis and narrative review. Psychological Bulletin, 143(9), 939–991. https://doi.org/10.1037/bul0000110</w:t>
      </w:r>
    </w:p>
    <w:p>
      <w:pPr>
        <w:ind w:left="567" w:hanging="567"/>
        <w:jc w:val="both"/>
      </w:pPr>
      <w:r>
        <w:rPr>
          <w:sz w:val="22"/>
        </w:rPr>
        <w:t>Hoàng, T. H., và cộng sự. (2025). Sức khỏe tâm thần của học sinh Việt Nam trong và sau đại dịch COVID-19. [VN014 trong cơ sở dữ liệu dự án.]</w:t>
      </w:r>
    </w:p>
    <w:p>
      <w:pPr>
        <w:ind w:left="567" w:hanging="567"/>
        <w:jc w:val="both"/>
      </w:pPr>
      <w:r>
        <w:rPr>
          <w:sz w:val="22"/>
        </w:rPr>
        <w:t>Lochman, J. E., và cộng sự. (2025). Randomized controlled trial of the early adolescent coping power program: Effects on emotional and behavioral problems in middle schoolers. Journal of School Psychology.</w:t>
      </w:r>
    </w:p>
    <w:p>
      <w:pPr>
        <w:ind w:left="567" w:hanging="567"/>
        <w:jc w:val="both"/>
      </w:pPr>
      <w:r>
        <w:rPr>
          <w:sz w:val="22"/>
        </w:rPr>
        <w:t>Parker, G., Tupling, H., &amp; Brown, L. B. (1979). A parental bonding instrument. British Journal of Medical Psychology, 52(1), 1–10.</w:t>
      </w:r>
    </w:p>
    <w:p>
      <w:pPr>
        <w:ind w:left="567" w:hanging="567"/>
        <w:jc w:val="both"/>
      </w:pPr>
      <w:r>
        <w:rPr>
          <w:sz w:val="22"/>
        </w:rPr>
        <w:t>Perris, C., Jacobsson, L., Lindström, H., von Knorring, L., &amp; Perris, H. (1980). Development of a new inventory for assessing memories of parental rearing behaviour. Acta Psychiatrica Scandinavica, 61(4), 265–274. https://doi.org/10.1111/j.1600-0447.1980.tb00581.x</w:t>
      </w:r>
    </w:p>
    <w:p>
      <w:pPr>
        <w:ind w:left="567" w:hanging="567"/>
        <w:jc w:val="both"/>
      </w:pPr>
      <w:r>
        <w:rPr>
          <w:sz w:val="22"/>
        </w:rPr>
        <w:t>Phạm, ..., và cộng sự. (2024). Mối quan hệ giữa chăm sóc xã hội và sức khỏe tâm thần ở thanh thiếu niên tại các cơ sở hỗ trợ xã hội tại Huế, Việt Nam. [VN003 trong cơ sở dữ liệu dự án.]</w:t>
      </w:r>
    </w:p>
    <w:p>
      <w:pPr>
        <w:ind w:left="567" w:hanging="567"/>
        <w:jc w:val="both"/>
      </w:pPr>
      <w:r>
        <w:rPr>
          <w:sz w:val="22"/>
        </w:rPr>
        <w:t>Qiu, Z., Guo, Y., Wang, J., &amp; Zhang, H. (2022). Associations of parenting style and resilience with depression and anxiety symptoms among Chinese middle school students. Frontiers in Public Health. [QT009 trong cơ sở dữ liệu dự án.]</w:t>
      </w:r>
    </w:p>
    <w:p>
      <w:pPr>
        <w:ind w:left="567" w:hanging="567"/>
        <w:jc w:val="both"/>
      </w:pPr>
      <w:r>
        <w:rPr>
          <w:sz w:val="22"/>
        </w:rPr>
        <w:t>Robinson, C. C., Mandleco, B., Olsen, S. F., &amp; Hart, C. H. (2001). The Parenting Styles and Dimensions Questionnaire (PSDQ). In B. F. Perlmutter, J. Touliatos, &amp; G. W. Holden (Eds.), Handbook of family measurement techniques: Vol. 3 (pp. 319–321). Sage.</w:t>
      </w:r>
    </w:p>
    <w:p>
      <w:pPr>
        <w:ind w:left="567" w:hanging="567"/>
        <w:jc w:val="both"/>
      </w:pPr>
      <w:r>
        <w:rPr>
          <w:sz w:val="22"/>
        </w:rPr>
        <w:t>Rohner, R. P. (2005). Parental Acceptance-Rejection Questionnaire (PARQ): Test manual. In R. P. Rohner &amp; A. Khaleque (Eds.), Handbook for the study of parental acceptance and rejection (4th ed., pp. 43–106). Rohner Research Publications.</w:t>
      </w:r>
    </w:p>
    <w:p>
      <w:pPr>
        <w:ind w:left="567" w:hanging="567"/>
        <w:jc w:val="both"/>
      </w:pPr>
      <w:r>
        <w:rPr>
          <w:sz w:val="22"/>
        </w:rPr>
        <w:t>Schaefer, E. S. (1965). Children's reports of parental behavior: An inventory. Child Development, 36(2), 413–424.</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