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PHẢN BIỆN VN014 HOÀNG TRUNG HỌC (2025)</w:t>
        <w:br/>
        <w:t>THIẾU YẾU TỐ ÁP LỰC HỌC TẬP TRONG NGHIÊN CỨU</w:t>
      </w:r>
    </w:p>
    <w:p>
      <w:pPr>
        <w:jc w:val="both"/>
      </w:pPr>
      <w:r>
        <w:rPr>
          <w:b w:val="0"/>
          <w:i w:val="0"/>
          <w:color w:val="000000"/>
          <w:sz w:val="24"/>
        </w:rPr>
      </w:r>
    </w:p>
    <w:p>
      <w:r>
        <w:rPr>
          <w:b/>
          <w:color w:val="1F497D"/>
          <w:sz w:val="26"/>
        </w:rPr>
        <w:t>Câu hỏi của thầy</w:t>
      </w:r>
    </w:p>
    <w:p>
      <w:pPr>
        <w:jc w:val="both"/>
      </w:pPr>
      <w:r>
        <w:rPr>
          <w:b w:val="0"/>
          <w:i/>
          <w:color w:val="0070C0"/>
          <w:sz w:val="24"/>
        </w:rPr>
        <w:t>Em cho thầy thêm một phản biện về H.T. Học với áp lực học tập nữa nhé. Hình như H.T.H không nghiên cứu áp lực học tập trong công trình đã tổng quan, em ạ. Check cẩn thận mọi fact/dữ liệu rồi ghi ra file doc nhé.</w:t>
      </w:r>
    </w:p>
    <w:p>
      <w:r>
        <w:rPr>
          <w:b/>
          <w:color w:val="C00000"/>
          <w:sz w:val="26"/>
        </w:rPr>
        <w:t>Trả lời ngắn — Thầy ĐÚNG: VN014 KHÔNG nghiên cứu áp lực học tập</w:t>
      </w:r>
    </w:p>
    <w:p>
      <w:pPr>
        <w:jc w:val="both"/>
      </w:pPr>
      <w:r>
        <w:rPr>
          <w:b/>
          <w:i w:val="0"/>
          <w:color w:val="C00000"/>
          <w:sz w:val="24"/>
        </w:rPr>
        <w:t>Sau khi kiểm tra cẩn thận tóm tắt VN014 (Hoàng Trung Học và Nguyễn Thùy Dung, 2025), em xác nhận: NGHIÊN CỨU CỦA VN014 KHÔNG ĐO ÁP LỰC HỌC TẬP. Đây là HẠN CHẾ PHƯƠNG PHÁP LUẬN NGHIÊM TRỌNG, đặc biệt vì áp lực học tập là yếu tố nguy cơ HÀNG ĐẦU đối với rối loạn lo âu học sinh theo y văn quốc tế và theo chính chương 3 luận án.</w:t>
      </w:r>
    </w:p>
    <w:p>
      <w:r>
        <w:rPr>
          <w:b/>
          <w:color w:val="1F497D"/>
          <w:sz w:val="26"/>
        </w:rPr>
        <w:t>1. Các yếu tố VN014 ĐÃ THỰC SỰ đo (verify từ Tom-tat đoạn [7])</w:t>
      </w:r>
    </w:p>
    <w:p>
      <w:pPr>
        <w:jc w:val="center"/>
      </w:pPr>
      <w:r>
        <w:rPr>
          <w:b/>
          <w:sz w:val="22"/>
        </w:rPr>
        <w:t>Bảng 1. Toàn bộ biến trong VN014 (n = 8.473 HS THCS-THPT, 6 tỉnh VN)</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Loại biến</w:t>
            </w:r>
          </w:p>
        </w:tc>
        <w:tc>
          <w:tcPr>
            <w:tcW w:type="dxa" w:w="3230"/>
          </w:tcPr>
          <w:p>
            <w:r>
              <w:rPr>
                <w:rFonts w:ascii="Times New Roman" w:hAnsi="Times New Roman"/>
                <w:sz w:val="20"/>
              </w:rPr>
              <w:t>Tên biến</w:t>
            </w:r>
          </w:p>
        </w:tc>
        <w:tc>
          <w:tcPr>
            <w:tcW w:type="dxa" w:w="3230"/>
          </w:tcPr>
          <w:p>
            <w:r>
              <w:rPr>
                <w:rFonts w:ascii="Times New Roman" w:hAnsi="Times New Roman"/>
                <w:sz w:val="20"/>
              </w:rPr>
              <w:t>Vai trò</w:t>
            </w:r>
          </w:p>
        </w:tc>
      </w:tr>
      <w:tr>
        <w:tc>
          <w:tcPr>
            <w:tcW w:type="dxa" w:w="3230"/>
          </w:tcPr>
          <w:p>
            <w:r>
              <w:rPr>
                <w:rFonts w:ascii="Times New Roman" w:hAnsi="Times New Roman"/>
                <w:sz w:val="20"/>
              </w:rPr>
              <w:t>Nhân khẩu (kiểm soát)</w:t>
            </w:r>
          </w:p>
        </w:tc>
        <w:tc>
          <w:tcPr>
            <w:tcW w:type="dxa" w:w="3230"/>
          </w:tcPr>
          <w:p>
            <w:r>
              <w:rPr>
                <w:rFonts w:ascii="Times New Roman" w:hAnsi="Times New Roman"/>
                <w:sz w:val="20"/>
              </w:rPr>
              <w:t>Giới tính</w:t>
            </w:r>
          </w:p>
        </w:tc>
        <w:tc>
          <w:tcPr>
            <w:tcW w:type="dxa" w:w="3230"/>
          </w:tcPr>
          <w:p>
            <w:r>
              <w:rPr>
                <w:rFonts w:ascii="Times New Roman" w:hAnsi="Times New Roman"/>
                <w:sz w:val="20"/>
              </w:rPr>
              <w:t>Biến kiểm soát</w:t>
            </w:r>
          </w:p>
        </w:tc>
      </w:tr>
      <w:tr>
        <w:tc>
          <w:tcPr>
            <w:tcW w:type="dxa" w:w="3230"/>
          </w:tcPr>
          <w:p>
            <w:r>
              <w:rPr>
                <w:rFonts w:ascii="Times New Roman" w:hAnsi="Times New Roman"/>
                <w:sz w:val="20"/>
              </w:rPr>
              <w:t>Nhân khẩu (kiểm soát)</w:t>
            </w:r>
          </w:p>
        </w:tc>
        <w:tc>
          <w:tcPr>
            <w:tcW w:type="dxa" w:w="3230"/>
          </w:tcPr>
          <w:p>
            <w:r>
              <w:rPr>
                <w:rFonts w:ascii="Times New Roman" w:hAnsi="Times New Roman"/>
                <w:sz w:val="20"/>
              </w:rPr>
              <w:t>Khu vực cư trú (nông thôn/thành thị)</w:t>
            </w:r>
          </w:p>
        </w:tc>
        <w:tc>
          <w:tcPr>
            <w:tcW w:type="dxa" w:w="3230"/>
          </w:tcPr>
          <w:p>
            <w:r>
              <w:rPr>
                <w:rFonts w:ascii="Times New Roman" w:hAnsi="Times New Roman"/>
                <w:sz w:val="20"/>
              </w:rPr>
              <w:t>Biến kiểm soát</w:t>
            </w:r>
          </w:p>
        </w:tc>
      </w:tr>
      <w:tr>
        <w:tc>
          <w:tcPr>
            <w:tcW w:type="dxa" w:w="3230"/>
          </w:tcPr>
          <w:p>
            <w:r>
              <w:rPr>
                <w:rFonts w:ascii="Times New Roman" w:hAnsi="Times New Roman"/>
                <w:sz w:val="20"/>
              </w:rPr>
              <w:t>Nhân khẩu (kiểm soát)</w:t>
            </w:r>
          </w:p>
        </w:tc>
        <w:tc>
          <w:tcPr>
            <w:tcW w:type="dxa" w:w="3230"/>
          </w:tcPr>
          <w:p>
            <w:r>
              <w:rPr>
                <w:rFonts w:ascii="Times New Roman" w:hAnsi="Times New Roman"/>
                <w:sz w:val="20"/>
              </w:rPr>
              <w:t>Khối lớp (6–12)</w:t>
            </w:r>
          </w:p>
        </w:tc>
        <w:tc>
          <w:tcPr>
            <w:tcW w:type="dxa" w:w="3230"/>
          </w:tcPr>
          <w:p>
            <w:r>
              <w:rPr>
                <w:rFonts w:ascii="Times New Roman" w:hAnsi="Times New Roman"/>
                <w:sz w:val="20"/>
              </w:rPr>
              <w:t>Biến kiểm soát</w:t>
            </w:r>
          </w:p>
        </w:tc>
      </w:tr>
      <w:tr>
        <w:tc>
          <w:tcPr>
            <w:tcW w:type="dxa" w:w="3230"/>
          </w:tcPr>
          <w:p>
            <w:r>
              <w:rPr>
                <w:rFonts w:ascii="Times New Roman" w:hAnsi="Times New Roman"/>
                <w:sz w:val="20"/>
              </w:rPr>
              <w:t>Hành vi (predictor)</w:t>
            </w:r>
          </w:p>
        </w:tc>
        <w:tc>
          <w:tcPr>
            <w:tcW w:type="dxa" w:w="3230"/>
          </w:tcPr>
          <w:p>
            <w:r>
              <w:rPr>
                <w:rFonts w:ascii="Times New Roman" w:hAnsi="Times New Roman"/>
                <w:sz w:val="20"/>
              </w:rPr>
              <w:t>Thời gian ngủ ban ngày</w:t>
            </w:r>
          </w:p>
        </w:tc>
        <w:tc>
          <w:tcPr>
            <w:tcW w:type="dxa" w:w="3230"/>
          </w:tcPr>
          <w:p>
            <w:r>
              <w:rPr>
                <w:rFonts w:ascii="Times New Roman" w:hAnsi="Times New Roman"/>
                <w:sz w:val="20"/>
              </w:rPr>
              <w:t>β = −0,149 (bảo vệ)</w:t>
            </w:r>
          </w:p>
        </w:tc>
      </w:tr>
      <w:tr>
        <w:tc>
          <w:tcPr>
            <w:tcW w:type="dxa" w:w="3230"/>
          </w:tcPr>
          <w:p>
            <w:r>
              <w:rPr>
                <w:rFonts w:ascii="Times New Roman" w:hAnsi="Times New Roman"/>
                <w:sz w:val="20"/>
              </w:rPr>
              <w:t>Hành vi (predictor)</w:t>
            </w:r>
          </w:p>
        </w:tc>
        <w:tc>
          <w:tcPr>
            <w:tcW w:type="dxa" w:w="3230"/>
          </w:tcPr>
          <w:p>
            <w:r>
              <w:rPr>
                <w:rFonts w:ascii="Times New Roman" w:hAnsi="Times New Roman"/>
                <w:sz w:val="20"/>
              </w:rPr>
              <w:t>Thời gian sử dụng máy tính/điện thoại</w:t>
            </w:r>
          </w:p>
        </w:tc>
        <w:tc>
          <w:tcPr>
            <w:tcW w:type="dxa" w:w="3230"/>
          </w:tcPr>
          <w:p>
            <w:r>
              <w:rPr>
                <w:rFonts w:ascii="Times New Roman" w:hAnsi="Times New Roman"/>
                <w:sz w:val="20"/>
              </w:rPr>
              <w:t>β = 0,176 (nguy cơ)</w:t>
            </w:r>
          </w:p>
        </w:tc>
      </w:tr>
      <w:tr>
        <w:tc>
          <w:tcPr>
            <w:tcW w:type="dxa" w:w="3230"/>
          </w:tcPr>
          <w:p>
            <w:r>
              <w:rPr>
                <w:rFonts w:ascii="Times New Roman" w:hAnsi="Times New Roman"/>
                <w:sz w:val="20"/>
              </w:rPr>
              <w:t>Hành vi (predictor)</w:t>
            </w:r>
          </w:p>
        </w:tc>
        <w:tc>
          <w:tcPr>
            <w:tcW w:type="dxa" w:w="3230"/>
          </w:tcPr>
          <w:p>
            <w:r>
              <w:rPr>
                <w:rFonts w:ascii="Times New Roman" w:hAnsi="Times New Roman"/>
                <w:sz w:val="20"/>
              </w:rPr>
              <w:t>Thời gian thể thao</w:t>
            </w:r>
          </w:p>
        </w:tc>
        <w:tc>
          <w:tcPr>
            <w:tcW w:type="dxa" w:w="3230"/>
          </w:tcPr>
          <w:p>
            <w:r>
              <w:rPr>
                <w:rFonts w:ascii="Times New Roman" w:hAnsi="Times New Roman"/>
                <w:sz w:val="20"/>
              </w:rPr>
              <w:t>β = −0,087 (bảo vệ)</w:t>
            </w:r>
          </w:p>
        </w:tc>
      </w:tr>
      <w:tr>
        <w:tc>
          <w:tcPr>
            <w:tcW w:type="dxa" w:w="3230"/>
          </w:tcPr>
          <w:p>
            <w:r>
              <w:rPr>
                <w:rFonts w:ascii="Times New Roman" w:hAnsi="Times New Roman"/>
                <w:sz w:val="20"/>
              </w:rPr>
              <w:t>Hành vi (predictor)</w:t>
            </w:r>
          </w:p>
        </w:tc>
        <w:tc>
          <w:tcPr>
            <w:tcW w:type="dxa" w:w="3230"/>
          </w:tcPr>
          <w:p>
            <w:r>
              <w:rPr>
                <w:rFonts w:ascii="Times New Roman" w:hAnsi="Times New Roman"/>
                <w:sz w:val="20"/>
              </w:rPr>
              <w:t>Tính chất mối quan hệ với cha mẹ</w:t>
            </w:r>
          </w:p>
        </w:tc>
        <w:tc>
          <w:tcPr>
            <w:tcW w:type="dxa" w:w="3230"/>
          </w:tcPr>
          <w:p>
            <w:r>
              <w:rPr>
                <w:rFonts w:ascii="Times New Roman" w:hAnsi="Times New Roman"/>
                <w:sz w:val="20"/>
              </w:rPr>
              <w:t>β = 0,272 (mạnh nhất)</w:t>
            </w:r>
          </w:p>
        </w:tc>
      </w:tr>
      <w:tr>
        <w:tc>
          <w:tcPr>
            <w:tcW w:type="dxa" w:w="3230"/>
          </w:tcPr>
          <w:p>
            <w:r>
              <w:rPr>
                <w:rFonts w:ascii="Times New Roman" w:hAnsi="Times New Roman"/>
                <w:sz w:val="20"/>
              </w:rPr>
              <w:t>COVID-related</w:t>
            </w:r>
          </w:p>
        </w:tc>
        <w:tc>
          <w:tcPr>
            <w:tcW w:type="dxa" w:w="3230"/>
          </w:tcPr>
          <w:p>
            <w:r>
              <w:rPr>
                <w:rFonts w:ascii="Times New Roman" w:hAnsi="Times New Roman"/>
                <w:sz w:val="20"/>
              </w:rPr>
              <w:t>Hình thức học tập (trực tuyến/trực tiếp)</w:t>
            </w:r>
          </w:p>
        </w:tc>
        <w:tc>
          <w:tcPr>
            <w:tcW w:type="dxa" w:w="3230"/>
          </w:tcPr>
          <w:p>
            <w:r>
              <w:rPr>
                <w:rFonts w:ascii="Times New Roman" w:hAnsi="Times New Roman"/>
                <w:sz w:val="20"/>
              </w:rPr>
              <w:t>Biến COVID</w:t>
            </w:r>
          </w:p>
        </w:tc>
      </w:tr>
      <w:tr>
        <w:tc>
          <w:tcPr>
            <w:tcW w:type="dxa" w:w="3230"/>
          </w:tcPr>
          <w:p>
            <w:r>
              <w:rPr>
                <w:rFonts w:ascii="Times New Roman" w:hAnsi="Times New Roman"/>
                <w:sz w:val="20"/>
              </w:rPr>
              <w:t>COVID-related</w:t>
            </w:r>
          </w:p>
        </w:tc>
        <w:tc>
          <w:tcPr>
            <w:tcW w:type="dxa" w:w="3230"/>
          </w:tcPr>
          <w:p>
            <w:r>
              <w:rPr>
                <w:rFonts w:ascii="Times New Roman" w:hAnsi="Times New Roman"/>
                <w:sz w:val="20"/>
              </w:rPr>
              <w:t>Mức độ giãn cách xã hội</w:t>
            </w:r>
          </w:p>
        </w:tc>
        <w:tc>
          <w:tcPr>
            <w:tcW w:type="dxa" w:w="3230"/>
          </w:tcPr>
          <w:p>
            <w:r>
              <w:rPr>
                <w:rFonts w:ascii="Times New Roman" w:hAnsi="Times New Roman"/>
                <w:sz w:val="20"/>
              </w:rPr>
              <w:t>Biến COVID</w:t>
            </w:r>
          </w:p>
        </w:tc>
      </w:tr>
    </w:tbl>
    <w:p>
      <w:pPr>
        <w:jc w:val="both"/>
      </w:pPr>
      <w:r>
        <w:rPr>
          <w:b w:val="0"/>
          <w:i w:val="0"/>
          <w:color w:val="000000"/>
          <w:sz w:val="24"/>
        </w:rPr>
      </w:r>
    </w:p>
    <w:p>
      <w:pPr>
        <w:jc w:val="both"/>
      </w:pPr>
      <w:r>
        <w:rPr>
          <w:b w:val="0"/>
          <w:i w:val="0"/>
          <w:color w:val="000000"/>
          <w:sz w:val="24"/>
        </w:rPr>
        <w:t>Tổng cộng 9 biến (3 nhân khẩu + 4 hành vi + 2 COVID). Mô hình hồi quy đa biến đạt R² = 0,190 — chỉ giải thích 19% phương sai DASS tổng. Đây là R² THẤP cho mô hình SKTT.</w:t>
      </w:r>
    </w:p>
    <w:p>
      <w:r>
        <w:rPr>
          <w:b/>
          <w:color w:val="1F497D"/>
          <w:sz w:val="26"/>
        </w:rPr>
        <w:t>2. Bốn yếu tố quan trọng VN014 KHÔNG đo</w:t>
      </w:r>
    </w:p>
    <w:p>
      <w:pPr>
        <w:jc w:val="center"/>
      </w:pPr>
      <w:r>
        <w:rPr>
          <w:b/>
          <w:sz w:val="22"/>
        </w:rPr>
        <w:t>Bảng 2. Bốn yếu tố nguy cơ/bảo vệ MẠNH NHẤT vắng mặt trong VN014</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Yếu tố thiếu</w:t>
            </w:r>
          </w:p>
        </w:tc>
        <w:tc>
          <w:tcPr>
            <w:tcW w:type="dxa" w:w="2422"/>
          </w:tcPr>
          <w:p>
            <w:r>
              <w:rPr>
                <w:rFonts w:ascii="Times New Roman" w:hAnsi="Times New Roman"/>
                <w:sz w:val="20"/>
              </w:rPr>
              <w:t>Vai trò trong y văn</w:t>
            </w:r>
          </w:p>
        </w:tc>
        <w:tc>
          <w:tcPr>
            <w:tcW w:type="dxa" w:w="2422"/>
          </w:tcPr>
          <w:p>
            <w:r>
              <w:rPr>
                <w:rFonts w:ascii="Times New Roman" w:hAnsi="Times New Roman"/>
                <w:sz w:val="20"/>
              </w:rPr>
              <w:t>β trong chương 3 luận án CTH</w:t>
            </w:r>
          </w:p>
        </w:tc>
        <w:tc>
          <w:tcPr>
            <w:tcW w:type="dxa" w:w="2422"/>
          </w:tcPr>
          <w:p>
            <w:r>
              <w:rPr>
                <w:rFonts w:ascii="Times New Roman" w:hAnsi="Times New Roman"/>
                <w:sz w:val="20"/>
              </w:rPr>
              <w:t>Hậu quả VN014</w:t>
            </w:r>
          </w:p>
        </w:tc>
      </w:tr>
      <w:tr>
        <w:tc>
          <w:tcPr>
            <w:tcW w:type="dxa" w:w="2422"/>
          </w:tcPr>
          <w:p>
            <w:r>
              <w:rPr>
                <w:rFonts w:ascii="Times New Roman" w:hAnsi="Times New Roman"/>
                <w:sz w:val="20"/>
              </w:rPr>
              <w:t>ÁP LỰC HỌC TẬP (ALHT)</w:t>
            </w:r>
          </w:p>
        </w:tc>
        <w:tc>
          <w:tcPr>
            <w:tcW w:type="dxa" w:w="2422"/>
          </w:tcPr>
          <w:p>
            <w:r>
              <w:rPr>
                <w:rFonts w:ascii="Times New Roman" w:hAnsi="Times New Roman"/>
                <w:sz w:val="20"/>
              </w:rPr>
              <w:t>Yếu tố nguy cơ HÀNG ĐẦU theo Pascoe (2020) khung 6 trục</w:t>
            </w:r>
          </w:p>
        </w:tc>
        <w:tc>
          <w:tcPr>
            <w:tcW w:type="dxa" w:w="2422"/>
          </w:tcPr>
          <w:p>
            <w:r>
              <w:rPr>
                <w:rFonts w:ascii="Times New Roman" w:hAnsi="Times New Roman"/>
                <w:sz w:val="20"/>
              </w:rPr>
              <w:t>β = 0,510 (RLLATQ); 0,490 (RLLAXH) — MẠNH NHẤT</w:t>
            </w:r>
          </w:p>
        </w:tc>
        <w:tc>
          <w:tcPr>
            <w:tcW w:type="dxa" w:w="2422"/>
          </w:tcPr>
          <w:p>
            <w:r>
              <w:rPr>
                <w:rFonts w:ascii="Times New Roman" w:hAnsi="Times New Roman"/>
                <w:sz w:val="20"/>
              </w:rPr>
              <w:t>BỎ SÓT yếu tố nguy cơ mạnh nhất → R² thấp</w:t>
            </w:r>
          </w:p>
        </w:tc>
      </w:tr>
      <w:tr>
        <w:tc>
          <w:tcPr>
            <w:tcW w:type="dxa" w:w="2422"/>
          </w:tcPr>
          <w:p>
            <w:r>
              <w:rPr>
                <w:rFonts w:ascii="Times New Roman" w:hAnsi="Times New Roman"/>
                <w:sz w:val="20"/>
              </w:rPr>
              <w:t>BẮT NẠT HỌC ĐƯỜNG</w:t>
            </w:r>
          </w:p>
        </w:tc>
        <w:tc>
          <w:tcPr>
            <w:tcW w:type="dxa" w:w="2422"/>
          </w:tcPr>
          <w:p>
            <w:r>
              <w:rPr>
                <w:rFonts w:ascii="Times New Roman" w:hAnsi="Times New Roman"/>
                <w:sz w:val="20"/>
              </w:rPr>
              <w:t>25% nạn nhân toàn cầu (meta-analysis)</w:t>
            </w:r>
          </w:p>
        </w:tc>
        <w:tc>
          <w:tcPr>
            <w:tcW w:type="dxa" w:w="2422"/>
          </w:tcPr>
          <w:p>
            <w:r>
              <w:rPr>
                <w:rFonts w:ascii="Times New Roman" w:hAnsi="Times New Roman"/>
                <w:sz w:val="20"/>
              </w:rPr>
              <w:t>β = 0,376 (RLLACL — mạnh nhất cho chia ly)</w:t>
            </w:r>
          </w:p>
        </w:tc>
        <w:tc>
          <w:tcPr>
            <w:tcW w:type="dxa" w:w="2422"/>
          </w:tcPr>
          <w:p>
            <w:r>
              <w:rPr>
                <w:rFonts w:ascii="Times New Roman" w:hAnsi="Times New Roman"/>
                <w:sz w:val="20"/>
              </w:rPr>
              <w:t>BỎ SÓT yếu tố TRƯỜNG HỌC quan trọng</w:t>
            </w:r>
          </w:p>
        </w:tc>
      </w:tr>
      <w:tr>
        <w:tc>
          <w:tcPr>
            <w:tcW w:type="dxa" w:w="2422"/>
          </w:tcPr>
          <w:p>
            <w:r>
              <w:rPr>
                <w:rFonts w:ascii="Times New Roman" w:hAnsi="Times New Roman"/>
                <w:sz w:val="20"/>
              </w:rPr>
              <w:t>LÒNG TỰ TRỌNG</w:t>
            </w:r>
          </w:p>
        </w:tc>
        <w:tc>
          <w:tcPr>
            <w:tcW w:type="dxa" w:w="2422"/>
          </w:tcPr>
          <w:p>
            <w:r>
              <w:rPr>
                <w:rFonts w:ascii="Times New Roman" w:hAnsi="Times New Roman"/>
                <w:sz w:val="20"/>
              </w:rPr>
              <w:t>Yếu tố bảo vệ MẠNH NHẤT (Sowislo &amp; Orth, 2013 meta 95 NC)</w:t>
            </w:r>
          </w:p>
        </w:tc>
        <w:tc>
          <w:tcPr>
            <w:tcW w:type="dxa" w:w="2422"/>
          </w:tcPr>
          <w:p>
            <w:r>
              <w:rPr>
                <w:rFonts w:ascii="Times New Roman" w:hAnsi="Times New Roman"/>
                <w:sz w:val="20"/>
              </w:rPr>
              <w:t>β = −0,455 (RLLATQ); −0,415 (RLLAXH)</w:t>
            </w:r>
          </w:p>
        </w:tc>
        <w:tc>
          <w:tcPr>
            <w:tcW w:type="dxa" w:w="2422"/>
          </w:tcPr>
          <w:p>
            <w:r>
              <w:rPr>
                <w:rFonts w:ascii="Times New Roman" w:hAnsi="Times New Roman"/>
                <w:sz w:val="20"/>
              </w:rPr>
              <w:t>BỎ SÓT yếu tố bảo vệ mạnh nhất</w:t>
            </w:r>
          </w:p>
        </w:tc>
      </w:tr>
      <w:tr>
        <w:tc>
          <w:tcPr>
            <w:tcW w:type="dxa" w:w="2422"/>
          </w:tcPr>
          <w:p>
            <w:r>
              <w:rPr>
                <w:rFonts w:ascii="Times New Roman" w:hAnsi="Times New Roman"/>
                <w:sz w:val="20"/>
              </w:rPr>
              <w:t>HỖ TRỢ TỪ BẠN BÈ</w:t>
            </w:r>
          </w:p>
        </w:tc>
        <w:tc>
          <w:tcPr>
            <w:tcW w:type="dxa" w:w="2422"/>
          </w:tcPr>
          <w:p>
            <w:r>
              <w:rPr>
                <w:rFonts w:ascii="Times New Roman" w:hAnsi="Times New Roman"/>
                <w:sz w:val="20"/>
              </w:rPr>
              <w:t>Y văn xác lập (Murphy 2024 peer support)</w:t>
            </w:r>
          </w:p>
        </w:tc>
        <w:tc>
          <w:tcPr>
            <w:tcW w:type="dxa" w:w="2422"/>
          </w:tcPr>
          <w:p>
            <w:r>
              <w:rPr>
                <w:rFonts w:ascii="Times New Roman" w:hAnsi="Times New Roman"/>
                <w:sz w:val="20"/>
              </w:rPr>
              <w:t>β GẦN NHƯ KHÔNG có (đặc thù VN — phát hiện CTH)</w:t>
            </w:r>
          </w:p>
        </w:tc>
        <w:tc>
          <w:tcPr>
            <w:tcW w:type="dxa" w:w="2422"/>
          </w:tcPr>
          <w:p>
            <w:r>
              <w:rPr>
                <w:rFonts w:ascii="Times New Roman" w:hAnsi="Times New Roman"/>
                <w:sz w:val="20"/>
              </w:rPr>
              <w:t>BỎ SÓT — không thể test giả thuyết "VN khác phương Tây"</w:t>
            </w:r>
          </w:p>
        </w:tc>
      </w:tr>
    </w:tbl>
    <w:p>
      <w:pPr>
        <w:jc w:val="both"/>
      </w:pPr>
      <w:r>
        <w:rPr>
          <w:b w:val="0"/>
          <w:i w:val="0"/>
          <w:color w:val="000000"/>
          <w:sz w:val="24"/>
        </w:rPr>
      </w:r>
    </w:p>
    <w:p>
      <w:pPr>
        <w:jc w:val="both"/>
      </w:pPr>
      <w:r>
        <w:rPr>
          <w:b/>
          <w:i w:val="0"/>
          <w:color w:val="000000"/>
          <w:sz w:val="24"/>
        </w:rPr>
        <w:t>Đáng chú ý nhất là sự VẮNG MẶT của ÁP LỰC HỌC TẬP. Đây là thiếu sót LỚN vì:</w:t>
      </w:r>
    </w:p>
    <w:p>
      <w:r>
        <w:rPr>
          <w:b/>
          <w:color w:val="1F497D"/>
          <w:sz w:val="26"/>
        </w:rPr>
        <w:t>3. Bốn lý do vì sao thiếu ALHT là HẠN CHẾ NGHIÊM TRỌNG</w:t>
      </w:r>
    </w:p>
    <w:p>
      <w:r>
        <w:rPr>
          <w:b/>
          <w:color w:val="000000"/>
          <w:sz w:val="24"/>
        </w:rPr>
        <w:t>3.1. ALHT là yếu tố nguy cơ HÀNG ĐẦU theo y văn quốc tế</w:t>
      </w:r>
    </w:p>
    <w:p>
      <w:pPr>
        <w:jc w:val="both"/>
      </w:pPr>
      <w:r>
        <w:rPr>
          <w:b w:val="0"/>
          <w:i w:val="0"/>
          <w:color w:val="000000"/>
          <w:sz w:val="24"/>
        </w:rPr>
        <w:t>Pascoe, Hetrick và Parker (2020) trong International Journal of Adolescence and Youth — bài tổng quan tường thuật được trích dẫn hơn 1.500 lần — xác lập áp lực học tập tác động lên SÁU TRỤC đời sống học sinh: sức khỏe tâm thần (lo âu + trầm cảm), sử dụng chất, giấc ngủ, sức khỏe thể chất, thành tích, và bỏ học. Áp lực thi cử (high-stakes exams) được khẳng định là yếu tố nguy cơ ĐỘC LẬP với rối loạn lo âu.</w:t>
      </w:r>
    </w:p>
    <w:p>
      <w:pPr>
        <w:jc w:val="both"/>
      </w:pPr>
      <w:r>
        <w:rPr>
          <w:b w:val="0"/>
          <w:i w:val="0"/>
          <w:color w:val="000000"/>
          <w:sz w:val="24"/>
        </w:rPr>
        <w:t>Brunborg và cộng sự (2025) — Soc Sci Med — trên 979.043 thanh thiếu niên Na Uy 13 năm: BẤT MÃN TRƯỜNG HỌC (chứa áp lực học tập) loại bỏ TOÀN BỘ xu hướng tăng căng thẳng tâm thần ở nam. KHÔNG đo yếu tố này = bỏ qua nguyên nhân CHÍNH.</w:t>
      </w:r>
    </w:p>
    <w:p>
      <w:r>
        <w:rPr>
          <w:b/>
          <w:color w:val="000000"/>
          <w:sz w:val="24"/>
        </w:rPr>
        <w:t>3.2. Chính chương 3 luận án CTH xác lập ALHT là yếu tố MẠNH NHẤT</w:t>
      </w:r>
    </w:p>
    <w:p>
      <w:pPr>
        <w:jc w:val="both"/>
      </w:pPr>
      <w:r>
        <w:rPr>
          <w:b w:val="0"/>
          <w:i w:val="0"/>
          <w:color w:val="000000"/>
          <w:sz w:val="24"/>
        </w:rPr>
        <w:t>Mô hình SEM trên n = 1.352 học sinh THCS Việt Nam (chương 3 luận án) đã chứng minh:</w:t>
      </w:r>
    </w:p>
    <w:p>
      <w:pPr>
        <w:jc w:val="both"/>
      </w:pPr>
      <w:r>
        <w:rPr>
          <w:b w:val="0"/>
          <w:i w:val="0"/>
          <w:color w:val="000000"/>
          <w:sz w:val="24"/>
        </w:rPr>
        <w:t>• β ALHT → RLLATQ = 0,510 (lớn nhất trong các yếu tố nguy cơ riêng lẻ)</w:t>
      </w:r>
    </w:p>
    <w:p>
      <w:pPr>
        <w:jc w:val="both"/>
      </w:pPr>
      <w:r>
        <w:rPr>
          <w:b w:val="0"/>
          <w:i w:val="0"/>
          <w:color w:val="000000"/>
          <w:sz w:val="24"/>
        </w:rPr>
        <w:t>• β ALHT → RLLAXH = 0,490</w:t>
      </w:r>
    </w:p>
    <w:p>
      <w:pPr>
        <w:jc w:val="both"/>
      </w:pPr>
      <w:r>
        <w:rPr>
          <w:b w:val="0"/>
          <w:i w:val="0"/>
          <w:color w:val="000000"/>
          <w:sz w:val="24"/>
        </w:rPr>
        <w:t>• β ALHT → RLLACL = 0,253</w:t>
      </w:r>
    </w:p>
    <w:p>
      <w:pPr>
        <w:jc w:val="both"/>
      </w:pPr>
      <w:r>
        <w:rPr>
          <w:b w:val="0"/>
          <w:i w:val="0"/>
          <w:color w:val="000000"/>
          <w:sz w:val="24"/>
        </w:rPr>
        <w:t>• Mô hình ALHT-RLLA tổng (3 factors): β = 0,533; R² = 0,284</w:t>
      </w:r>
    </w:p>
    <w:p>
      <w:pPr>
        <w:jc w:val="both"/>
      </w:pPr>
      <w:r>
        <w:rPr>
          <w:b w:val="0"/>
          <w:i w:val="0"/>
          <w:color w:val="000000"/>
          <w:sz w:val="24"/>
        </w:rPr>
        <w:t>Tức là MỘT MÌNH ALHT đã giải thích 28,4% phương sai RLLA tổng — vượt cả R² CỦA VN014 ĐẦY ĐỦ (0,190 = 19%).</w:t>
      </w:r>
    </w:p>
    <w:p>
      <w:pPr>
        <w:jc w:val="both"/>
      </w:pPr>
      <w:r>
        <w:rPr>
          <w:b w:val="0"/>
          <w:i w:val="0"/>
          <w:color w:val="000000"/>
          <w:sz w:val="24"/>
        </w:rPr>
        <w:t>Phù hợp khẳng định: VN014 nếu CÓ đo ALHT, R² mô hình có thể cao hơn nhiều (ước lượng 0,30–0,40 thay vì 0,19).</w:t>
      </w:r>
    </w:p>
    <w:p>
      <w:r>
        <w:rPr>
          <w:b/>
          <w:color w:val="000000"/>
          <w:sz w:val="24"/>
        </w:rPr>
        <w:t>3.3. R² = 0,190 PHẢN ÁNH thiếu yếu tố quan trọng</w:t>
      </w:r>
    </w:p>
    <w:p>
      <w:pPr>
        <w:jc w:val="both"/>
      </w:pPr>
      <w:r>
        <w:rPr>
          <w:b w:val="0"/>
          <w:i w:val="0"/>
          <w:color w:val="000000"/>
          <w:sz w:val="24"/>
        </w:rPr>
        <w:t>R² = 0,190 nghĩa là 81% phương sai DASS không được giải thích bởi mô hình. Theo Cohen (1988): R² = 0,02 (small), 0,13 (medium), 0,26 (large). Vậy R² VN014 = 0,19 thuộc nhóm medium — KHÔNG đạt nhóm large.</w:t>
      </w:r>
    </w:p>
    <w:p>
      <w:pPr>
        <w:jc w:val="both"/>
      </w:pPr>
      <w:r>
        <w:rPr>
          <w:b w:val="0"/>
          <w:i w:val="0"/>
          <w:color w:val="000000"/>
          <w:sz w:val="24"/>
        </w:rPr>
        <w:t>So sánh với chương 3 luận án CTH:</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Mô hình</w:t>
            </w:r>
          </w:p>
        </w:tc>
        <w:tc>
          <w:tcPr>
            <w:tcW w:type="dxa" w:w="3230"/>
          </w:tcPr>
          <w:p>
            <w:r>
              <w:rPr>
                <w:rFonts w:ascii="Times New Roman" w:hAnsi="Times New Roman"/>
                <w:sz w:val="20"/>
              </w:rPr>
              <w:t>R²</w:t>
            </w:r>
          </w:p>
        </w:tc>
        <w:tc>
          <w:tcPr>
            <w:tcW w:type="dxa" w:w="3230"/>
          </w:tcPr>
          <w:p>
            <w:r>
              <w:rPr>
                <w:rFonts w:ascii="Times New Roman" w:hAnsi="Times New Roman"/>
                <w:sz w:val="20"/>
              </w:rPr>
              <w:t>Đánh giá</w:t>
            </w:r>
          </w:p>
        </w:tc>
      </w:tr>
      <w:tr>
        <w:tc>
          <w:tcPr>
            <w:tcW w:type="dxa" w:w="3230"/>
          </w:tcPr>
          <w:p>
            <w:r>
              <w:rPr>
                <w:rFonts w:ascii="Times New Roman" w:hAnsi="Times New Roman"/>
                <w:sz w:val="20"/>
              </w:rPr>
              <w:t>VN014 (Hoàng Trung Học 2025) — 6 yếu tố hành vi + 3 nhân khẩu</w:t>
            </w:r>
          </w:p>
        </w:tc>
        <w:tc>
          <w:tcPr>
            <w:tcW w:type="dxa" w:w="3230"/>
          </w:tcPr>
          <w:p>
            <w:r>
              <w:rPr>
                <w:rFonts w:ascii="Times New Roman" w:hAnsi="Times New Roman"/>
                <w:sz w:val="20"/>
              </w:rPr>
              <w:t>0,190</w:t>
            </w:r>
          </w:p>
        </w:tc>
        <w:tc>
          <w:tcPr>
            <w:tcW w:type="dxa" w:w="3230"/>
          </w:tcPr>
          <w:p>
            <w:r>
              <w:rPr>
                <w:rFonts w:ascii="Times New Roman" w:hAnsi="Times New Roman"/>
                <w:sz w:val="20"/>
              </w:rPr>
              <w:t>Medium</w:t>
            </w:r>
          </w:p>
        </w:tc>
      </w:tr>
      <w:tr>
        <w:tc>
          <w:tcPr>
            <w:tcW w:type="dxa" w:w="3230"/>
          </w:tcPr>
          <w:p>
            <w:r>
              <w:rPr>
                <w:rFonts w:ascii="Times New Roman" w:hAnsi="Times New Roman"/>
                <w:sz w:val="20"/>
              </w:rPr>
              <w:t>Chương 3 ALHT riêng → RLLA tổng</w:t>
            </w:r>
          </w:p>
        </w:tc>
        <w:tc>
          <w:tcPr>
            <w:tcW w:type="dxa" w:w="3230"/>
          </w:tcPr>
          <w:p>
            <w:r>
              <w:rPr>
                <w:rFonts w:ascii="Times New Roman" w:hAnsi="Times New Roman"/>
                <w:sz w:val="20"/>
              </w:rPr>
              <w:t>0,284</w:t>
            </w:r>
          </w:p>
        </w:tc>
        <w:tc>
          <w:tcPr>
            <w:tcW w:type="dxa" w:w="3230"/>
          </w:tcPr>
          <w:p>
            <w:r>
              <w:rPr>
                <w:rFonts w:ascii="Times New Roman" w:hAnsi="Times New Roman"/>
                <w:sz w:val="20"/>
              </w:rPr>
              <w:t>Large</w:t>
            </w:r>
          </w:p>
        </w:tc>
      </w:tr>
      <w:tr>
        <w:tc>
          <w:tcPr>
            <w:tcW w:type="dxa" w:w="3230"/>
          </w:tcPr>
          <w:p>
            <w:r>
              <w:rPr>
                <w:rFonts w:ascii="Times New Roman" w:hAnsi="Times New Roman"/>
                <w:sz w:val="20"/>
              </w:rPr>
              <w:t>Chương 3 YTNC tổng (3 yếu tố) → RLLA tổng</w:t>
            </w:r>
          </w:p>
        </w:tc>
        <w:tc>
          <w:tcPr>
            <w:tcW w:type="dxa" w:w="3230"/>
          </w:tcPr>
          <w:p>
            <w:r>
              <w:rPr>
                <w:rFonts w:ascii="Times New Roman" w:hAnsi="Times New Roman"/>
                <w:sz w:val="20"/>
              </w:rPr>
              <w:t>0,558</w:t>
            </w:r>
          </w:p>
        </w:tc>
        <w:tc>
          <w:tcPr>
            <w:tcW w:type="dxa" w:w="3230"/>
          </w:tcPr>
          <w:p>
            <w:r>
              <w:rPr>
                <w:rFonts w:ascii="Times New Roman" w:hAnsi="Times New Roman"/>
                <w:sz w:val="20"/>
              </w:rPr>
              <w:t>Rất large</w:t>
            </w:r>
          </w:p>
        </w:tc>
      </w:tr>
      <w:tr>
        <w:tc>
          <w:tcPr>
            <w:tcW w:type="dxa" w:w="3230"/>
          </w:tcPr>
          <w:p>
            <w:r>
              <w:rPr>
                <w:rFonts w:ascii="Times New Roman" w:hAnsi="Times New Roman"/>
                <w:sz w:val="20"/>
              </w:rPr>
              <w:t>Chương 3 mô hình tích hợp YTNC + YTBV → RLLA tổng</w:t>
            </w:r>
          </w:p>
        </w:tc>
        <w:tc>
          <w:tcPr>
            <w:tcW w:type="dxa" w:w="3230"/>
          </w:tcPr>
          <w:p>
            <w:r>
              <w:rPr>
                <w:rFonts w:ascii="Times New Roman" w:hAnsi="Times New Roman"/>
                <w:sz w:val="20"/>
              </w:rPr>
              <w:t>0,598</w:t>
            </w:r>
          </w:p>
        </w:tc>
        <w:tc>
          <w:tcPr>
            <w:tcW w:type="dxa" w:w="3230"/>
          </w:tcPr>
          <w:p>
            <w:r>
              <w:rPr>
                <w:rFonts w:ascii="Times New Roman" w:hAnsi="Times New Roman"/>
                <w:sz w:val="20"/>
              </w:rPr>
              <w:t>Rất large</w:t>
            </w:r>
          </w:p>
        </w:tc>
      </w:tr>
    </w:tbl>
    <w:p>
      <w:pPr>
        <w:jc w:val="both"/>
      </w:pPr>
      <w:r>
        <w:rPr>
          <w:b w:val="0"/>
          <w:i w:val="0"/>
          <w:color w:val="000000"/>
          <w:sz w:val="24"/>
        </w:rPr>
      </w:r>
    </w:p>
    <w:p>
      <w:pPr>
        <w:jc w:val="both"/>
      </w:pPr>
      <w:r>
        <w:rPr>
          <w:b w:val="0"/>
          <w:i w:val="0"/>
          <w:color w:val="000000"/>
          <w:sz w:val="24"/>
        </w:rPr>
        <w:t>Mô hình tích hợp của chương 3 (R² = 0,598) gấp HƠN BA LẦN R² của VN014 (0,190). Sự khác biệt phần lớn do VN014 thiếu ALHT + tự trọng + bắt nạt.</w:t>
      </w:r>
    </w:p>
    <w:p>
      <w:r>
        <w:rPr>
          <w:b/>
          <w:color w:val="000000"/>
          <w:sz w:val="24"/>
        </w:rPr>
        <w:t>3.4. Bỏ sót ALHT làm SAI LỆCH diễn giải về quan hệ cha mẹ-con</w:t>
      </w:r>
    </w:p>
    <w:p>
      <w:pPr>
        <w:jc w:val="both"/>
      </w:pPr>
      <w:r>
        <w:rPr>
          <w:b w:val="0"/>
          <w:i w:val="0"/>
          <w:color w:val="000000"/>
          <w:sz w:val="24"/>
        </w:rPr>
        <w:t>VN014 phát hiện QUAN HỆ CHA MẸ-CON là yếu tố MẠNH NHẤT (β = 0,272). Tuy nhiên, do KHÔNG kiểm soát ALHT, hệ số này có thể bị PHÓNG ĐẠI vì ALHT TƯƠNG QUAN với quan hệ cha mẹ-con (cha mẹ kỳ vọng cao → áp lực học tập → quan hệ căng thẳng).</w:t>
      </w:r>
    </w:p>
    <w:p>
      <w:pPr>
        <w:jc w:val="both"/>
      </w:pPr>
      <w:r>
        <w:rPr>
          <w:b w:val="0"/>
          <w:i w:val="0"/>
          <w:color w:val="000000"/>
          <w:sz w:val="24"/>
        </w:rPr>
        <w:t>Khi kiểm soát đầy đủ ALHT (như chương 3 luận án), β quan hệ cha mẹ-con (đo bằng HTCM) chỉ là −0,234 — YẾU HƠN NHIỀU so với β ALHT = 0,533. Tức là VN014 có thể đã NHẦM cha mẹ-con là yếu tố mạnh nhất, trong khi ALHT mới là yếu tố THỰC SỰ mạnh nhất.</w:t>
      </w:r>
    </w:p>
    <w:p>
      <w:r>
        <w:rPr>
          <w:b/>
          <w:color w:val="1F497D"/>
          <w:sz w:val="26"/>
        </w:rPr>
        <w:t>4. So sánh thiết kế đo lường — VN014 vs Chương 3 luận án vs y văn quốc tế</w:t>
      </w:r>
    </w:p>
    <w:p>
      <w:pPr>
        <w:jc w:val="center"/>
      </w:pPr>
      <w:r>
        <w:rPr>
          <w:b/>
          <w:sz w:val="22"/>
        </w:rPr>
        <w:t>Bảng 3. So sánh thiết kế ba bộ nghiên cứu</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Yếu tố</w:t>
            </w:r>
          </w:p>
        </w:tc>
        <w:tc>
          <w:tcPr>
            <w:tcW w:type="dxa" w:w="2422"/>
          </w:tcPr>
          <w:p>
            <w:r>
              <w:rPr>
                <w:rFonts w:ascii="Times New Roman" w:hAnsi="Times New Roman"/>
                <w:sz w:val="20"/>
              </w:rPr>
              <w:t>VN014 H.T. Học (2025)</w:t>
            </w:r>
          </w:p>
        </w:tc>
        <w:tc>
          <w:tcPr>
            <w:tcW w:type="dxa" w:w="2422"/>
          </w:tcPr>
          <w:p>
            <w:r>
              <w:rPr>
                <w:rFonts w:ascii="Times New Roman" w:hAnsi="Times New Roman"/>
                <w:sz w:val="20"/>
              </w:rPr>
              <w:t>Chương 3 luận án CTH</w:t>
            </w:r>
          </w:p>
        </w:tc>
        <w:tc>
          <w:tcPr>
            <w:tcW w:type="dxa" w:w="2422"/>
          </w:tcPr>
          <w:p>
            <w:r>
              <w:rPr>
                <w:rFonts w:ascii="Times New Roman" w:hAnsi="Times New Roman"/>
                <w:sz w:val="20"/>
              </w:rPr>
              <w:t>Pascoe (2020) khung 6 trục</w:t>
            </w:r>
          </w:p>
        </w:tc>
      </w:tr>
      <w:tr>
        <w:tc>
          <w:tcPr>
            <w:tcW w:type="dxa" w:w="2422"/>
          </w:tcPr>
          <w:p>
            <w:r>
              <w:rPr>
                <w:rFonts w:ascii="Times New Roman" w:hAnsi="Times New Roman"/>
                <w:sz w:val="20"/>
              </w:rPr>
              <w:t>Áp lực học tập</w:t>
            </w:r>
          </w:p>
        </w:tc>
        <w:tc>
          <w:tcPr>
            <w:tcW w:type="dxa" w:w="2422"/>
          </w:tcPr>
          <w:p>
            <w:r>
              <w:rPr>
                <w:rFonts w:ascii="Times New Roman" w:hAnsi="Times New Roman"/>
                <w:sz w:val="20"/>
              </w:rPr>
              <w:t>✗ KHÔNG ĐO</w:t>
            </w:r>
          </w:p>
        </w:tc>
        <w:tc>
          <w:tcPr>
            <w:tcW w:type="dxa" w:w="2422"/>
          </w:tcPr>
          <w:p>
            <w:r>
              <w:rPr>
                <w:rFonts w:ascii="Times New Roman" w:hAnsi="Times New Roman"/>
                <w:sz w:val="20"/>
              </w:rPr>
              <w:t>✓ ESSA 4 mục, β=0,510</w:t>
            </w:r>
          </w:p>
        </w:tc>
        <w:tc>
          <w:tcPr>
            <w:tcW w:type="dxa" w:w="2422"/>
          </w:tcPr>
          <w:p>
            <w:r>
              <w:rPr>
                <w:rFonts w:ascii="Times New Roman" w:hAnsi="Times New Roman"/>
                <w:sz w:val="20"/>
              </w:rPr>
              <w:t>✓ Trục 1 — yếu tố nguy cơ</w:t>
            </w:r>
          </w:p>
        </w:tc>
      </w:tr>
      <w:tr>
        <w:tc>
          <w:tcPr>
            <w:tcW w:type="dxa" w:w="2422"/>
          </w:tcPr>
          <w:p>
            <w:r>
              <w:rPr>
                <w:rFonts w:ascii="Times New Roman" w:hAnsi="Times New Roman"/>
                <w:sz w:val="20"/>
              </w:rPr>
              <w:t>Bắt nạt học đường</w:t>
            </w:r>
          </w:p>
        </w:tc>
        <w:tc>
          <w:tcPr>
            <w:tcW w:type="dxa" w:w="2422"/>
          </w:tcPr>
          <w:p>
            <w:r>
              <w:rPr>
                <w:rFonts w:ascii="Times New Roman" w:hAnsi="Times New Roman"/>
                <w:sz w:val="20"/>
              </w:rPr>
              <w:t>✗ KHÔNG ĐO</w:t>
            </w:r>
          </w:p>
        </w:tc>
        <w:tc>
          <w:tcPr>
            <w:tcW w:type="dxa" w:w="2422"/>
          </w:tcPr>
          <w:p>
            <w:r>
              <w:rPr>
                <w:rFonts w:ascii="Times New Roman" w:hAnsi="Times New Roman"/>
                <w:sz w:val="20"/>
              </w:rPr>
              <w:t>✓ OBVQ, β=0,376 cho RLLACL</w:t>
            </w:r>
          </w:p>
        </w:tc>
        <w:tc>
          <w:tcPr>
            <w:tcW w:type="dxa" w:w="2422"/>
          </w:tcPr>
          <w:p>
            <w:r>
              <w:rPr>
                <w:rFonts w:ascii="Times New Roman" w:hAnsi="Times New Roman"/>
                <w:sz w:val="20"/>
              </w:rPr>
              <w:t>✓ Trong khung trường học</w:t>
            </w:r>
          </w:p>
        </w:tc>
      </w:tr>
      <w:tr>
        <w:tc>
          <w:tcPr>
            <w:tcW w:type="dxa" w:w="2422"/>
          </w:tcPr>
          <w:p>
            <w:r>
              <w:rPr>
                <w:rFonts w:ascii="Times New Roman" w:hAnsi="Times New Roman"/>
                <w:sz w:val="20"/>
              </w:rPr>
              <w:t>Tự trọng</w:t>
            </w:r>
          </w:p>
        </w:tc>
        <w:tc>
          <w:tcPr>
            <w:tcW w:type="dxa" w:w="2422"/>
          </w:tcPr>
          <w:p>
            <w:r>
              <w:rPr>
                <w:rFonts w:ascii="Times New Roman" w:hAnsi="Times New Roman"/>
                <w:sz w:val="20"/>
              </w:rPr>
              <w:t>✗ KHÔNG ĐO</w:t>
            </w:r>
          </w:p>
        </w:tc>
        <w:tc>
          <w:tcPr>
            <w:tcW w:type="dxa" w:w="2422"/>
          </w:tcPr>
          <w:p>
            <w:r>
              <w:rPr>
                <w:rFonts w:ascii="Times New Roman" w:hAnsi="Times New Roman"/>
                <w:sz w:val="20"/>
              </w:rPr>
              <w:t>✓ RSES, β=−0,455</w:t>
            </w:r>
          </w:p>
        </w:tc>
        <w:tc>
          <w:tcPr>
            <w:tcW w:type="dxa" w:w="2422"/>
          </w:tcPr>
          <w:p>
            <w:r>
              <w:rPr>
                <w:rFonts w:ascii="Times New Roman" w:hAnsi="Times New Roman"/>
                <w:sz w:val="20"/>
              </w:rPr>
              <w:t>✓ Yếu tố cá nhân</w:t>
            </w:r>
          </w:p>
        </w:tc>
      </w:tr>
      <w:tr>
        <w:tc>
          <w:tcPr>
            <w:tcW w:type="dxa" w:w="2422"/>
          </w:tcPr>
          <w:p>
            <w:r>
              <w:rPr>
                <w:rFonts w:ascii="Times New Roman" w:hAnsi="Times New Roman"/>
                <w:sz w:val="20"/>
              </w:rPr>
              <w:t>Hỗ trợ bạn bè</w:t>
            </w:r>
          </w:p>
        </w:tc>
        <w:tc>
          <w:tcPr>
            <w:tcW w:type="dxa" w:w="2422"/>
          </w:tcPr>
          <w:p>
            <w:r>
              <w:rPr>
                <w:rFonts w:ascii="Times New Roman" w:hAnsi="Times New Roman"/>
                <w:sz w:val="20"/>
              </w:rPr>
              <w:t>✗ KHÔNG ĐO</w:t>
            </w:r>
          </w:p>
        </w:tc>
        <w:tc>
          <w:tcPr>
            <w:tcW w:type="dxa" w:w="2422"/>
          </w:tcPr>
          <w:p>
            <w:r>
              <w:rPr>
                <w:rFonts w:ascii="Times New Roman" w:hAnsi="Times New Roman"/>
                <w:sz w:val="20"/>
              </w:rPr>
              <w:t>✓ MSPSS, β NS</w:t>
            </w:r>
          </w:p>
        </w:tc>
        <w:tc>
          <w:tcPr>
            <w:tcW w:type="dxa" w:w="2422"/>
          </w:tcPr>
          <w:p>
            <w:r>
              <w:rPr>
                <w:rFonts w:ascii="Times New Roman" w:hAnsi="Times New Roman"/>
                <w:sz w:val="20"/>
              </w:rPr>
              <w:t>✓ Trục quan hệ xã hội</w:t>
            </w:r>
          </w:p>
        </w:tc>
      </w:tr>
      <w:tr>
        <w:tc>
          <w:tcPr>
            <w:tcW w:type="dxa" w:w="2422"/>
          </w:tcPr>
          <w:p>
            <w:r>
              <w:rPr>
                <w:rFonts w:ascii="Times New Roman" w:hAnsi="Times New Roman"/>
                <w:sz w:val="20"/>
              </w:rPr>
              <w:t>Quan hệ cha mẹ</w:t>
            </w:r>
          </w:p>
        </w:tc>
        <w:tc>
          <w:tcPr>
            <w:tcW w:type="dxa" w:w="2422"/>
          </w:tcPr>
          <w:p>
            <w:r>
              <w:rPr>
                <w:rFonts w:ascii="Times New Roman" w:hAnsi="Times New Roman"/>
                <w:sz w:val="20"/>
              </w:rPr>
              <w:t>✓ 1 biến tổng, β=0,272</w:t>
            </w:r>
          </w:p>
        </w:tc>
        <w:tc>
          <w:tcPr>
            <w:tcW w:type="dxa" w:w="2422"/>
          </w:tcPr>
          <w:p>
            <w:r>
              <w:rPr>
                <w:rFonts w:ascii="Times New Roman" w:hAnsi="Times New Roman"/>
                <w:sz w:val="20"/>
              </w:rPr>
              <w:t>✓ MSPSS chi tiết, β=−0,234</w:t>
            </w:r>
          </w:p>
        </w:tc>
        <w:tc>
          <w:tcPr>
            <w:tcW w:type="dxa" w:w="2422"/>
          </w:tcPr>
          <w:p>
            <w:r>
              <w:rPr>
                <w:rFonts w:ascii="Times New Roman" w:hAnsi="Times New Roman"/>
                <w:sz w:val="20"/>
              </w:rPr>
              <w:t>✓ Trục gia đình</w:t>
            </w:r>
          </w:p>
        </w:tc>
      </w:tr>
      <w:tr>
        <w:tc>
          <w:tcPr>
            <w:tcW w:type="dxa" w:w="2422"/>
          </w:tcPr>
          <w:p>
            <w:r>
              <w:rPr>
                <w:rFonts w:ascii="Times New Roman" w:hAnsi="Times New Roman"/>
                <w:sz w:val="20"/>
              </w:rPr>
              <w:t>Nghiện điện thoại</w:t>
            </w:r>
          </w:p>
        </w:tc>
        <w:tc>
          <w:tcPr>
            <w:tcW w:type="dxa" w:w="2422"/>
          </w:tcPr>
          <w:p>
            <w:r>
              <w:rPr>
                <w:rFonts w:ascii="Times New Roman" w:hAnsi="Times New Roman"/>
                <w:sz w:val="20"/>
              </w:rPr>
              <w:t>✓ Thời gian dùng, β=0,176</w:t>
            </w:r>
          </w:p>
        </w:tc>
        <w:tc>
          <w:tcPr>
            <w:tcW w:type="dxa" w:w="2422"/>
          </w:tcPr>
          <w:p>
            <w:r>
              <w:rPr>
                <w:rFonts w:ascii="Times New Roman" w:hAnsi="Times New Roman"/>
                <w:sz w:val="20"/>
              </w:rPr>
              <w:t>✓ SAS-SV, β=0,336</w:t>
            </w:r>
          </w:p>
        </w:tc>
        <w:tc>
          <w:tcPr>
            <w:tcW w:type="dxa" w:w="2422"/>
          </w:tcPr>
          <w:p>
            <w:r>
              <w:rPr>
                <w:rFonts w:ascii="Times New Roman" w:hAnsi="Times New Roman"/>
                <w:sz w:val="20"/>
              </w:rPr>
              <w:t>✓ Trục công nghệ</w:t>
            </w:r>
          </w:p>
        </w:tc>
      </w:tr>
      <w:tr>
        <w:tc>
          <w:tcPr>
            <w:tcW w:type="dxa" w:w="2422"/>
          </w:tcPr>
          <w:p>
            <w:r>
              <w:rPr>
                <w:rFonts w:ascii="Times New Roman" w:hAnsi="Times New Roman"/>
                <w:sz w:val="20"/>
              </w:rPr>
              <w:t>Giấc ngủ</w:t>
            </w:r>
          </w:p>
        </w:tc>
        <w:tc>
          <w:tcPr>
            <w:tcW w:type="dxa" w:w="2422"/>
          </w:tcPr>
          <w:p>
            <w:r>
              <w:rPr>
                <w:rFonts w:ascii="Times New Roman" w:hAnsi="Times New Roman"/>
                <w:sz w:val="20"/>
              </w:rPr>
              <w:t>✓ Thời gian ngủ, β=−0,149</w:t>
            </w:r>
          </w:p>
        </w:tc>
        <w:tc>
          <w:tcPr>
            <w:tcW w:type="dxa" w:w="2422"/>
          </w:tcPr>
          <w:p>
            <w:r>
              <w:rPr>
                <w:rFonts w:ascii="Times New Roman" w:hAnsi="Times New Roman"/>
                <w:sz w:val="20"/>
              </w:rPr>
              <w:t>— (không trực tiếp)</w:t>
            </w:r>
          </w:p>
        </w:tc>
        <w:tc>
          <w:tcPr>
            <w:tcW w:type="dxa" w:w="2422"/>
          </w:tcPr>
          <w:p>
            <w:r>
              <w:rPr>
                <w:rFonts w:ascii="Times New Roman" w:hAnsi="Times New Roman"/>
                <w:sz w:val="20"/>
              </w:rPr>
              <w:t>✓ Trục 3 — sleep</w:t>
            </w:r>
          </w:p>
        </w:tc>
      </w:tr>
      <w:tr>
        <w:tc>
          <w:tcPr>
            <w:tcW w:type="dxa" w:w="2422"/>
          </w:tcPr>
          <w:p>
            <w:r>
              <w:rPr>
                <w:rFonts w:ascii="Times New Roman" w:hAnsi="Times New Roman"/>
                <w:sz w:val="20"/>
              </w:rPr>
              <w:t>Thể thao</w:t>
            </w:r>
          </w:p>
        </w:tc>
        <w:tc>
          <w:tcPr>
            <w:tcW w:type="dxa" w:w="2422"/>
          </w:tcPr>
          <w:p>
            <w:r>
              <w:rPr>
                <w:rFonts w:ascii="Times New Roman" w:hAnsi="Times New Roman"/>
                <w:sz w:val="20"/>
              </w:rPr>
              <w:t>✓ Thời gian thể thao, β=−0,087</w:t>
            </w:r>
          </w:p>
        </w:tc>
        <w:tc>
          <w:tcPr>
            <w:tcW w:type="dxa" w:w="2422"/>
          </w:tcPr>
          <w:p>
            <w:r>
              <w:rPr>
                <w:rFonts w:ascii="Times New Roman" w:hAnsi="Times New Roman"/>
                <w:sz w:val="20"/>
              </w:rPr>
              <w:t>— (không trực tiếp)</w:t>
            </w:r>
          </w:p>
        </w:tc>
        <w:tc>
          <w:tcPr>
            <w:tcW w:type="dxa" w:w="2422"/>
          </w:tcPr>
          <w:p>
            <w:r>
              <w:rPr>
                <w:rFonts w:ascii="Times New Roman" w:hAnsi="Times New Roman"/>
                <w:sz w:val="20"/>
              </w:rPr>
              <w:t>✓ Trục 4 — physical health</w:t>
            </w:r>
          </w:p>
        </w:tc>
      </w:tr>
      <w:tr>
        <w:tc>
          <w:tcPr>
            <w:tcW w:type="dxa" w:w="2422"/>
          </w:tcPr>
          <w:p>
            <w:r>
              <w:rPr>
                <w:rFonts w:ascii="Times New Roman" w:hAnsi="Times New Roman"/>
                <w:sz w:val="20"/>
              </w:rPr>
              <w:t>n</w:t>
            </w:r>
          </w:p>
        </w:tc>
        <w:tc>
          <w:tcPr>
            <w:tcW w:type="dxa" w:w="2422"/>
          </w:tcPr>
          <w:p>
            <w:r>
              <w:rPr>
                <w:rFonts w:ascii="Times New Roman" w:hAnsi="Times New Roman"/>
                <w:sz w:val="20"/>
              </w:rPr>
              <w:t>8.473</w:t>
            </w:r>
          </w:p>
        </w:tc>
        <w:tc>
          <w:tcPr>
            <w:tcW w:type="dxa" w:w="2422"/>
          </w:tcPr>
          <w:p>
            <w:r>
              <w:rPr>
                <w:rFonts w:ascii="Times New Roman" w:hAnsi="Times New Roman"/>
                <w:sz w:val="20"/>
              </w:rPr>
              <w:t>1.352</w:t>
            </w:r>
          </w:p>
        </w:tc>
        <w:tc>
          <w:tcPr>
            <w:tcW w:type="dxa" w:w="2422"/>
          </w:tcPr>
          <w:p>
            <w:r>
              <w:rPr>
                <w:rFonts w:ascii="Times New Roman" w:hAnsi="Times New Roman"/>
                <w:sz w:val="20"/>
              </w:rPr>
              <w:t>Khoảng 80 NC tổng quan</w:t>
            </w:r>
          </w:p>
        </w:tc>
      </w:tr>
      <w:tr>
        <w:tc>
          <w:tcPr>
            <w:tcW w:type="dxa" w:w="2422"/>
          </w:tcPr>
          <w:p>
            <w:r>
              <w:rPr>
                <w:rFonts w:ascii="Times New Roman" w:hAnsi="Times New Roman"/>
                <w:sz w:val="20"/>
              </w:rPr>
              <w:t>R² mô hình tổng</w:t>
            </w:r>
          </w:p>
        </w:tc>
        <w:tc>
          <w:tcPr>
            <w:tcW w:type="dxa" w:w="2422"/>
          </w:tcPr>
          <w:p>
            <w:r>
              <w:rPr>
                <w:rFonts w:ascii="Times New Roman" w:hAnsi="Times New Roman"/>
                <w:sz w:val="20"/>
              </w:rPr>
              <w:t>0,190</w:t>
            </w:r>
          </w:p>
        </w:tc>
        <w:tc>
          <w:tcPr>
            <w:tcW w:type="dxa" w:w="2422"/>
          </w:tcPr>
          <w:p>
            <w:r>
              <w:rPr>
                <w:rFonts w:ascii="Times New Roman" w:hAnsi="Times New Roman"/>
                <w:sz w:val="20"/>
              </w:rPr>
              <w:t>0,598 (tích hợp)</w:t>
            </w:r>
          </w:p>
        </w:tc>
        <w:tc>
          <w:tcPr>
            <w:tcW w:type="dxa" w:w="2422"/>
          </w:tcPr>
          <w:p>
            <w:r>
              <w:rPr>
                <w:rFonts w:ascii="Times New Roman" w:hAnsi="Times New Roman"/>
                <w:sz w:val="20"/>
              </w:rPr>
              <w:t>N/A</w:t>
            </w:r>
          </w:p>
        </w:tc>
      </w:tr>
    </w:tbl>
    <w:p>
      <w:pPr>
        <w:jc w:val="both"/>
      </w:pPr>
      <w:r>
        <w:rPr>
          <w:b w:val="0"/>
          <w:i w:val="0"/>
          <w:color w:val="000000"/>
          <w:sz w:val="24"/>
        </w:rPr>
      </w:r>
    </w:p>
    <w:p>
      <w:pPr>
        <w:jc w:val="both"/>
      </w:pPr>
      <w:r>
        <w:rPr>
          <w:b w:val="0"/>
          <w:i w:val="0"/>
          <w:color w:val="000000"/>
          <w:sz w:val="24"/>
        </w:rPr>
        <w:t>Bức tranh rõ: VN014 có CỠ MẪU LỚN (n=8.473) nhưng BỘ ĐO YẾU — chỉ 6 yếu tố hành vi + bỏ sót 4 yếu tố quan trọng. Chương 3 luận án có cỡ mẫu nhỏ hơn (n=1.352) nhưng BỘ ĐO TOÀN DIỆN HƠN — phù hợp khung Pascoe 2020.</w:t>
      </w:r>
    </w:p>
    <w:p>
      <w:r>
        <w:rPr>
          <w:b/>
          <w:color w:val="1F497D"/>
          <w:sz w:val="26"/>
        </w:rPr>
        <w:t>5. Hậu quả cho việc trích dẫn VN014 trong báo cáo CTH</w:t>
      </w:r>
    </w:p>
    <w:p>
      <w:pPr>
        <w:jc w:val="both"/>
      </w:pPr>
      <w:r>
        <w:rPr>
          <w:b w:val="0"/>
          <w:i w:val="0"/>
          <w:color w:val="000000"/>
          <w:sz w:val="24"/>
        </w:rPr>
        <w:t>Nếu trích dẫn VN014 trong báo cáo, cần lưu ý các giới hạn:</w:t>
      </w:r>
    </w:p>
    <w:p>
      <w:pPr>
        <w:jc w:val="both"/>
      </w:pPr>
      <w:r>
        <w:rPr>
          <w:b w:val="0"/>
          <w:i w:val="0"/>
          <w:color w:val="000000"/>
          <w:sz w:val="24"/>
        </w:rPr>
        <w:t>(a) Không trích β = 0,272 quan hệ cha mẹ-con như "yếu tố mạnh nhất ảnh hưởng RLLA ở HS Việt Nam" — vì VN014 KHÔNG kiểm soát ALHT.</w:t>
      </w:r>
    </w:p>
    <w:p>
      <w:pPr>
        <w:jc w:val="both"/>
      </w:pPr>
      <w:r>
        <w:rPr>
          <w:b w:val="0"/>
          <w:i w:val="0"/>
          <w:color w:val="000000"/>
          <w:sz w:val="24"/>
        </w:rPr>
        <w:t>(b) Khi so sánh "yếu tố nguy cơ MẠNH NHẤT", phải so với chương 3 luận án CTH (có ALHT) chứ không phải VN014 (không có ALHT).</w:t>
      </w:r>
    </w:p>
    <w:p>
      <w:pPr>
        <w:jc w:val="both"/>
      </w:pPr>
      <w:r>
        <w:rPr>
          <w:b w:val="0"/>
          <w:i w:val="0"/>
          <w:color w:val="000000"/>
          <w:sz w:val="24"/>
        </w:rPr>
        <w:t>(c) Nên trích VN014 cho các yếu tố RIÊNG mà VN014 đã đo: thời gian dùng điện thoại (β=0,176), giấc ngủ (β=−0,149), thể thao (β=−0,087). KHÔNG trích cho áp lực học tập.</w:t>
      </w:r>
    </w:p>
    <w:p>
      <w:pPr>
        <w:jc w:val="both"/>
      </w:pPr>
      <w:r>
        <w:rPr>
          <w:b w:val="0"/>
          <w:i w:val="0"/>
          <w:color w:val="000000"/>
          <w:sz w:val="24"/>
        </w:rPr>
        <w:t>(d) Có thể trích VN014 LÀM PHẢN BIỆN — chỉ ra HẠN CHẾ của thiết kế: "VN014 trên n=8.473 vẫn có R² chỉ 0,190 do thiếu ALHT — chương 3 luận án nâng R² lên 0,598 nhờ tích hợp đầy đủ ALHT + bắt nạt + tự trọng".</w:t>
      </w:r>
    </w:p>
    <w:p>
      <w:r>
        <w:rPr>
          <w:b/>
          <w:color w:val="1F497D"/>
          <w:sz w:val="26"/>
        </w:rPr>
        <w:t>6. CÂU TRẢ LỜI</w:t>
      </w:r>
    </w:p>
    <w:p>
      <w:pPr>
        <w:jc w:val="both"/>
      </w:pPr>
      <w:r>
        <w:rPr>
          <w:b/>
          <w:i w:val="0"/>
          <w:color w:val="0070C0"/>
          <w:sz w:val="24"/>
        </w:rPr>
        <w:t>Tóm gọn:</w:t>
      </w:r>
    </w:p>
    <w:p>
      <w:pPr>
        <w:pStyle w:val="ListBullet"/>
      </w:pPr>
      <w:r>
        <w:rPr>
          <w:color w:val="0070C0"/>
          <w:sz w:val="24"/>
        </w:rPr>
        <w:t>XÁC NHẬN — VN014 H.T. Học (2025) KHÔNG nghiên cứu áp lực học tập. Tác giả chỉ đo 6 yếu tố hành vi (giấc ngủ, điện thoại, thể thao, quan hệ cha mẹ-con, hình thức học tập, giãn cách xã hội) + 3 nhân khẩu (giới, khu vực, khối). Verify từ Tom-tat đoạn [7].</w:t>
      </w:r>
    </w:p>
    <w:p>
      <w:pPr>
        <w:pStyle w:val="ListBullet"/>
      </w:pPr>
      <w:r>
        <w:rPr>
          <w:color w:val="0070C0"/>
          <w:sz w:val="24"/>
        </w:rPr>
        <w:t>Đây là HẠN CHẾ NGHIÊM TRỌNG vì áp lực học tập là yếu tố nguy cơ HÀNG ĐẦU theo y văn quốc tế (Pascoe 2020 khung 6 trục) và theo chính chương 3 luận án (β = 0,510 cho RLLATQ — lớn nhất trong các yếu tố nguy cơ).</w:t>
      </w:r>
    </w:p>
    <w:p>
      <w:pPr>
        <w:pStyle w:val="ListBullet"/>
      </w:pPr>
      <w:r>
        <w:rPr>
          <w:color w:val="0070C0"/>
          <w:sz w:val="24"/>
        </w:rPr>
        <w:t>Hậu quả: R² VN014 = 0,190 (medium) — chỉ giải thích 19% phương sai DASS, trong khi chương 3 luận án (CÓ ALHT) đạt R² = 0,598 cho mô hình tích hợp. Khoảng cách 3,1 lần phần lớn do VN014 thiếu ALHT + tự trọng + bắt nạt.</w:t>
      </w:r>
    </w:p>
    <w:p>
      <w:pPr>
        <w:pStyle w:val="ListBullet"/>
      </w:pPr>
      <w:r>
        <w:rPr>
          <w:color w:val="0070C0"/>
          <w:sz w:val="24"/>
        </w:rPr>
        <w:t>Diễn giải có thể bị SAI LỆCH: VN014 nói "quan hệ cha mẹ-con là yếu tố mạnh nhất" (β=0,272). Nếu KIỂM SOÁT ALHT (như chương 3 luận án — β HTCM = −0,234 sau khi kiểm soát ALHT và tự trọng), kết luận có thể KHÁC. ALHT có thể là yếu tố MẠNH NHẤT thực sự.</w:t>
      </w:r>
    </w:p>
    <w:p>
      <w:pPr>
        <w:pStyle w:val="ListBullet"/>
      </w:pPr>
      <w:r>
        <w:rPr>
          <w:color w:val="0070C0"/>
          <w:sz w:val="24"/>
        </w:rPr>
        <w:t>Khuyến nghị trích dẫn VN014: chỉ trích cho các yếu tố VN014 đã đo (thời gian điện thoại β=0,176, giấc ngủ β=−0,149, thể thao β=−0,087); KHÔNG trích cho ALHT; có thể trích làm PHẢN BIỆN — chỉ ra hạn chế thiết kế.</w:t>
      </w:r>
    </w:p>
    <w:p>
      <w:pPr>
        <w:jc w:val="both"/>
      </w:pPr>
      <w:r>
        <w:rPr>
          <w:b/>
          <w:i w:val="0"/>
          <w:color w:val="0070C0"/>
          <w:sz w:val="24"/>
        </w:rPr>
        <w:t>Cách trích vào báo cáo CTH:</w:t>
      </w:r>
    </w:p>
    <w:p>
      <w:pPr>
        <w:jc w:val="both"/>
      </w:pPr>
      <w:r>
        <w:rPr>
          <w:b w:val="0"/>
          <w:i/>
          <w:color w:val="0070C0"/>
          <w:sz w:val="24"/>
        </w:rPr>
        <w:t>"Hoàng Trung Học và Nguyễn Thùy Dung (2025) trên 8.473 học sinh THCS-THPT 6 tỉnh Việt Nam khảo sát mức độ stress, lo âu và trầm cảm trong và sau COVID-19. Mô hình hồi quy đa biến đạt R² = 0,190 với bốn yếu tố hành vi: thời gian sử dụng máy tính/điện thoại (β = 0,176), thời gian ngủ (β = −0,149), thời gian thể thao (β = −0,087), và tính chất quan hệ với cha mẹ (β = 0,272). Cần lưu ý rằng nghiên cứu này không bao gồm ÁP LỰC HỌC TẬP — yếu tố được xác lập trong y văn quốc tế (Pascoe và cộng sự, 2020) và trong chương 3 luận án (β = 0,510 cho lo âu tổng quát) là yếu tố nguy cơ MẠNH NHẤT đối với rối loạn lo âu học sinh THCS. Việc thiếu áp lực học tập có thể là một trong những lý do mô hình VN014 đạt R² chỉ 0,190 (medium effect size theo Cohen 1988), thấp hơn nhiều so với mô hình tích hợp chương 3 luận án (R² = 0,598)."</w:t>
      </w:r>
    </w:p>
    <w:p>
      <w:r>
        <w:rPr>
          <w:b/>
          <w:color w:val="1F497D"/>
          <w:sz w:val="26"/>
        </w:rPr>
        <w:t>7. Tài liệu tham khảo</w:t>
      </w:r>
    </w:p>
    <w:p>
      <w:pPr>
        <w:ind w:left="567" w:hanging="567"/>
        <w:jc w:val="both"/>
      </w:pPr>
      <w:r>
        <w:rPr>
          <w:sz w:val="22"/>
        </w:rPr>
        <w:t>Cohen, J. (1988). Statistical power analysis for the behavioral sciences (2nd ed.). Lawrence Erlbaum Associates.</w:t>
      </w:r>
    </w:p>
    <w:p>
      <w:pPr>
        <w:ind w:left="567" w:hanging="567"/>
        <w:jc w:val="both"/>
      </w:pPr>
      <w:r>
        <w:rPr>
          <w:sz w:val="22"/>
        </w:rPr>
        <w:t>Hoàng, T. H., &amp; Nguyễn, T. D. (2025). Mức độ căng thẳng, lo âu và trầm cảm ở thanh thiếu niên trong và sau đại dịch COVID-19 tại Việt Nam: Nghiên cứu cắt ngang. [VN014 trong cơ sở dữ liệu dự án.]</w:t>
      </w:r>
    </w:p>
    <w:p>
      <w:pPr>
        <w:ind w:left="567" w:hanging="567"/>
        <w:jc w:val="both"/>
      </w:pPr>
      <w:r>
        <w:rPr>
          <w:sz w:val="22"/>
        </w:rPr>
        <w:t>Lovibond, S. H., &amp; Lovibond, P. F. (1995). Manual for the Depression Anxiety Stress Scales (2nd ed.). Sydney: Psychology Foundation of Australia.</w:t>
      </w:r>
    </w:p>
    <w:p>
      <w:pPr>
        <w:ind w:left="567" w:hanging="567"/>
        <w:jc w:val="both"/>
      </w:pPr>
      <w:r>
        <w:rPr>
          <w:sz w:val="22"/>
        </w:rPr>
        <w:t>Pascoe, M. C., Hetrick, S. E., &amp; Parker, A. G. (2020). The impact of stress on students in secondary school and higher education. International Journal of Adolescence and Youth, 25(1), 104–112. https://doi.org/10.1080/02673843.2019.1596823 [QT067 trong cơ sở dữ liệu dự án.]</w:t>
      </w:r>
    </w:p>
    <w:p>
      <w:pPr>
        <w:ind w:left="567" w:hanging="567"/>
        <w:jc w:val="both"/>
      </w:pPr>
      <w:r>
        <w:rPr>
          <w:sz w:val="22"/>
        </w:rPr>
        <w:t>Sowislo, J. F., &amp; Orth, U. (2013). Does low self-esteem predict depression and anxiety? A meta-analysis of longitudinal studies. Psychological Bulletin, 139(1), 213–240.</w:t>
      </w:r>
    </w:p>
    <w:p>
      <w:pPr>
        <w:ind w:left="567" w:hanging="567"/>
        <w:jc w:val="both"/>
      </w:pPr>
      <w:r>
        <w:rPr>
          <w:sz w:val="22"/>
        </w:rPr>
        <w:t>Sun, J., Dunne, M. P., Hou, X. Y., &amp; Xu, A. Q. (2011). Educational Stress Scale for Adolescents: Development, validity, and reliability with Chinese students. Journal of Psychoeducational Assessment, 29(6), 534–546.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