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PHẢN BIỆN VN020 TRẦN HỒ VĨNH LỘC (2024)</w:t>
        <w:br/>
        <w:t>VỀ CÁCH ĐO ÁP LỰC HỌC TẬP</w:t>
        <w:br/>
        <w:t>— Bảy hạn chế phương pháp luận —</w:t>
      </w:r>
    </w:p>
    <w:p>
      <w:pPr>
        <w:jc w:val="both"/>
      </w:pPr>
      <w:r>
        <w:rPr>
          <w:b w:val="0"/>
          <w:i w:val="0"/>
          <w:color w:val="000000"/>
          <w:sz w:val="24"/>
        </w:rPr>
      </w:r>
    </w:p>
    <w:p>
      <w:r>
        <w:rPr>
          <w:b/>
          <w:color w:val="1F497D"/>
          <w:sz w:val="26"/>
        </w:rPr>
        <w:t>Câu hỏi của thầy</w:t>
      </w:r>
    </w:p>
    <w:p>
      <w:pPr>
        <w:jc w:val="both"/>
      </w:pPr>
      <w:r>
        <w:rPr>
          <w:b w:val="0"/>
          <w:i/>
          <w:color w:val="0070C0"/>
          <w:sz w:val="24"/>
        </w:rPr>
        <w:t>Em cho thầy phản biện về áp lực học tập của Trần Hồ Vĩnh Lộc 2024 nhé.</w:t>
      </w:r>
    </w:p>
    <w:p>
      <w:r>
        <w:rPr>
          <w:b/>
          <w:color w:val="007030"/>
          <w:sz w:val="26"/>
        </w:rPr>
        <w:t>1. Bối cảnh — VN020 là bài VN TỐT NHẤT về ALHT đến nay</w:t>
      </w:r>
    </w:p>
    <w:p>
      <w:pPr>
        <w:jc w:val="both"/>
      </w:pPr>
      <w:r>
        <w:rPr>
          <w:b w:val="0"/>
          <w:i w:val="0"/>
          <w:color w:val="000000"/>
          <w:sz w:val="24"/>
        </w:rPr>
        <w:t>Trước khi phản biện, cần ghi nhận VN020 là MỘT TRONG SỐ ÍT bài Việt Nam về áp lực học tập đo bằng THANG CHUẨN QUỐC TẾ. Cụ thể:</w:t>
      </w:r>
    </w:p>
    <w:p>
      <w:pPr>
        <w:jc w:val="both"/>
      </w:pPr>
      <w:r>
        <w:rPr>
          <w:b w:val="0"/>
          <w:i w:val="0"/>
          <w:color w:val="000000"/>
          <w:sz w:val="24"/>
        </w:rPr>
        <w:t>• Tác giả: Trần Hồ Vĩnh Lộc, Huỳnh Ngọc Vân Anh, Tô Gia Kiên (2024) — Khoa Y tế Công cộng, Đại học Y Dược TPHCM.</w:t>
      </w:r>
    </w:p>
    <w:p>
      <w:pPr>
        <w:jc w:val="both"/>
      </w:pPr>
      <w:r>
        <w:rPr>
          <w:b w:val="0"/>
          <w:i w:val="0"/>
          <w:color w:val="000000"/>
          <w:sz w:val="24"/>
        </w:rPr>
        <w:t>• Tạp chí Y học TPHCM, năm 2024.</w:t>
      </w:r>
    </w:p>
    <w:p>
      <w:pPr>
        <w:jc w:val="both"/>
      </w:pPr>
      <w:r>
        <w:rPr>
          <w:b w:val="0"/>
          <w:i w:val="0"/>
          <w:color w:val="000000"/>
          <w:sz w:val="24"/>
        </w:rPr>
        <w:t>• n = 976 HS THPT tại 2 trường TPHCM — cỡ mẫu lớn nhất TPHCM về kết hợp DASS-Y + ESSA.</w:t>
      </w:r>
    </w:p>
    <w:p>
      <w:pPr>
        <w:jc w:val="both"/>
      </w:pPr>
      <w:r>
        <w:rPr>
          <w:b w:val="0"/>
          <w:i w:val="0"/>
          <w:color w:val="000000"/>
          <w:sz w:val="24"/>
        </w:rPr>
        <w:t>• Công cụ: DASS-Y (Depression Anxiety Stress Scales for Youth, Szabó 2010 — phiên bản VTN) + ESSA (Educational Stress Scale for Adolescents, Sun và cộng sự 2011 — 16 mục, α = 0,81).</w:t>
      </w:r>
    </w:p>
    <w:p>
      <w:pPr>
        <w:jc w:val="both"/>
      </w:pPr>
      <w:r>
        <w:rPr>
          <w:b w:val="0"/>
          <w:i w:val="0"/>
          <w:color w:val="000000"/>
          <w:sz w:val="24"/>
        </w:rPr>
        <w:t>• Phát hiện chính: lo âu 25,1% (DASS-Y); ESSA ≥ 59 là YẾU TỐ MẠNH NHẤT tăng nguy cơ cả 3 chỉ số (lo âu, trầm cảm, căng thẳng).</w:t>
      </w:r>
    </w:p>
    <w:p>
      <w:pPr>
        <w:jc w:val="both"/>
      </w:pPr>
      <w:r>
        <w:rPr>
          <w:b w:val="0"/>
          <w:i w:val="0"/>
          <w:color w:val="000000"/>
          <w:sz w:val="24"/>
        </w:rPr>
      </w:r>
    </w:p>
    <w:p>
      <w:pPr>
        <w:jc w:val="both"/>
      </w:pPr>
      <w:r>
        <w:rPr>
          <w:b/>
          <w:i w:val="0"/>
          <w:color w:val="007030"/>
          <w:sz w:val="24"/>
        </w:rPr>
        <w:t>ƯU điểm cần ghi nhận:</w:t>
      </w:r>
    </w:p>
    <w:p>
      <w:pPr>
        <w:jc w:val="both"/>
      </w:pPr>
      <w:r>
        <w:rPr>
          <w:b w:val="0"/>
          <w:i w:val="0"/>
          <w:color w:val="000000"/>
          <w:sz w:val="24"/>
        </w:rPr>
        <w:t>• Sử dụng ESSA CHUẨN QUỐC TẾ — phù hợp Pascoe (2020), Walder (2025).</w:t>
      </w:r>
    </w:p>
    <w:p>
      <w:pPr>
        <w:jc w:val="both"/>
      </w:pPr>
      <w:r>
        <w:rPr>
          <w:b w:val="0"/>
          <w:i w:val="0"/>
          <w:color w:val="000000"/>
          <w:sz w:val="24"/>
        </w:rPr>
        <w:t>• Áp dụng DASS-Y có ngưỡng RIÊNG cho VTN — đóng góp phương pháp luận quan trọng cho NC VN.</w:t>
      </w:r>
    </w:p>
    <w:p>
      <w:pPr>
        <w:jc w:val="both"/>
      </w:pPr>
      <w:r>
        <w:rPr>
          <w:b w:val="0"/>
          <w:i w:val="0"/>
          <w:color w:val="000000"/>
          <w:sz w:val="24"/>
        </w:rPr>
        <w:t>• Lấy mẫu ngẫu nhiên ở bậc trường (chứ không thuận tiện toàn bộ).</w:t>
      </w:r>
    </w:p>
    <w:p>
      <w:pPr>
        <w:jc w:val="both"/>
      </w:pPr>
      <w:r>
        <w:rPr>
          <w:b w:val="0"/>
          <w:i w:val="0"/>
          <w:color w:val="000000"/>
          <w:sz w:val="24"/>
        </w:rPr>
        <w:t>• Có pilot test 34 HS để kiểm tra độ tin cậy bộ câu hỏi.</w:t>
      </w:r>
    </w:p>
    <w:p>
      <w:r>
        <w:rPr>
          <w:b/>
          <w:color w:val="1F497D"/>
          <w:sz w:val="26"/>
        </w:rPr>
        <w:t>2. Bảy hạn chế phương pháp luận</w:t>
      </w:r>
    </w:p>
    <w:p>
      <w:r>
        <w:rPr>
          <w:b/>
          <w:color w:val="1F497D"/>
          <w:sz w:val="24"/>
        </w:rPr>
        <w:t>2.1. Chỉ 2 TRƯỜNG TPHCM — không đại diện thành phố</w:t>
      </w:r>
    </w:p>
    <w:p>
      <w:pPr>
        <w:jc w:val="both"/>
      </w:pPr>
      <w:r>
        <w:rPr>
          <w:b w:val="0"/>
          <w:i w:val="0"/>
          <w:color w:val="000000"/>
          <w:sz w:val="24"/>
        </w:rPr>
        <w:t>VN020 lấy mẫu tại CHỈ 2 trường THPT TPHCM. TPHCM có hơn 200 trường THPT (chính quy + dân lập + chuyên + GDTX). Kết quả từ 2 trường KHÔNG thể NGOẠI SUY ra HS THPT TPHCM nói chung — chứ chưa nói đến HS THPT Việt Nam toàn quốc.</w:t>
      </w:r>
    </w:p>
    <w:p>
      <w:pPr>
        <w:jc w:val="both"/>
      </w:pPr>
      <w:r>
        <w:rPr>
          <w:b w:val="0"/>
          <w:i w:val="0"/>
          <w:color w:val="000000"/>
          <w:sz w:val="24"/>
        </w:rPr>
        <w:t>So sánh: VN029 (Trúc Thanh Thái 2025) cũng tại TPHCM nhưng lấy mẫu 8 cơ sở (4 THPT chính quy + 4 GDTX) với n = 2.631 — cỡ mẫu gấp 2,7 lần VN020 và đa dạng cơ sở hơn. Tỷ lệ lo âu của VN029 (50,3% bằng DASS-21) khác xa VN020 (25,1% bằng DASS-Y) — gợi ý TỶ LỆ phụ thuộc cả thang đo VÀ mẫu.</w:t>
      </w:r>
    </w:p>
    <w:p>
      <w:r>
        <w:rPr>
          <w:b/>
          <w:color w:val="1F497D"/>
          <w:sz w:val="24"/>
        </w:rPr>
        <w:t>2.2. Chọn lớp THUẬN TIỆN ở bậc lớp</w:t>
      </w:r>
    </w:p>
    <w:p>
      <w:pPr>
        <w:jc w:val="both"/>
      </w:pPr>
      <w:r>
        <w:rPr>
          <w:b w:val="0"/>
          <w:i w:val="0"/>
          <w:color w:val="000000"/>
          <w:sz w:val="24"/>
        </w:rPr>
        <w:t>Tom-tat ghi rõ: "Lấy mẫu ngẫu nhiên nhiều bậc (bậc trường ngẫu nhiên, bậc lớp THUẬN TIỆN 4 lớp/khối)". Tức là chỉ BẬC TRƯỜNG được ngẫu nhiên, BẬC LỚP là CHỌN THUẬN TIỆN. Đây là thiết kế ngẫu nhiên CHƯA HOÀN TOÀN.</w:t>
      </w:r>
    </w:p>
    <w:p>
      <w:pPr>
        <w:jc w:val="both"/>
      </w:pPr>
      <w:r>
        <w:rPr>
          <w:b w:val="0"/>
          <w:i w:val="0"/>
          <w:color w:val="000000"/>
          <w:sz w:val="24"/>
        </w:rPr>
        <w:t>Hậu quả: nếu giáo viên chọn các lớp "dễ tham gia" (lớp có giáo viên chủ nhiệm hợp tác), có thể có thiên lệch chọn lọc (selection bias). Các lớp này có thể có học sinh có lo âu thấp hơn vì giáo viên chủ động trong quản lý cảm xúc — phóng đại tỷ lệ "thấp" hoặc ngược lại.</w:t>
      </w:r>
    </w:p>
    <w:p>
      <w:pPr>
        <w:jc w:val="both"/>
      </w:pPr>
      <w:r>
        <w:rPr>
          <w:b w:val="0"/>
          <w:i w:val="0"/>
          <w:color w:val="000000"/>
          <w:sz w:val="24"/>
        </w:rPr>
        <w:t>Đề xuất sửa: chọn lớp ngẫu nhiên (probability proportional to size) trong từng trường thay vì thuận tiện.</w:t>
      </w:r>
    </w:p>
    <w:p>
      <w:r>
        <w:rPr>
          <w:b/>
          <w:color w:val="1F497D"/>
          <w:sz w:val="24"/>
        </w:rPr>
        <w:t>2.3. PHÂN TÍCH LOGISTIC dùng ngưỡng cắt nhị phân — MẤT thông tin liên tục</w:t>
      </w:r>
    </w:p>
    <w:p>
      <w:pPr>
        <w:jc w:val="both"/>
      </w:pPr>
      <w:r>
        <w:rPr>
          <w:b w:val="0"/>
          <w:i w:val="0"/>
          <w:color w:val="000000"/>
          <w:sz w:val="24"/>
        </w:rPr>
        <w:t>VN020 phân tích bằng HỒI QUY LOGISTIC ĐA BIẾN với outcome NHỊ PHÂN (có/không lo âu theo ngưỡng DASS-Y) và ESSA ngưỡng ≥ 59. Cách tiếp cận này MẤT THÔNG TIN LIÊN TỤC:</w:t>
      </w:r>
    </w:p>
    <w:p>
      <w:pPr>
        <w:jc w:val="both"/>
      </w:pPr>
      <w:r>
        <w:rPr>
          <w:b w:val="0"/>
          <w:i w:val="0"/>
          <w:color w:val="000000"/>
          <w:sz w:val="24"/>
        </w:rPr>
        <w:t>• Học sinh có ESSA = 58 và ESSA = 30 đều được xem "không có ALHT cao" — gộp chung dù mức độ KHÁC NHAU rõ rệt.</w:t>
      </w:r>
    </w:p>
    <w:p>
      <w:pPr>
        <w:jc w:val="both"/>
      </w:pPr>
      <w:r>
        <w:rPr>
          <w:b w:val="0"/>
          <w:i w:val="0"/>
          <w:color w:val="000000"/>
          <w:sz w:val="24"/>
        </w:rPr>
        <w:t>• Học sinh có ESSA = 60 và ESSA = 80 đều "có ALHT cao" — gộp chung dù chênh 20 điểm.</w:t>
      </w:r>
    </w:p>
    <w:p>
      <w:pPr>
        <w:jc w:val="both"/>
      </w:pPr>
      <w:r>
        <w:rPr>
          <w:b w:val="0"/>
          <w:i w:val="0"/>
          <w:color w:val="000000"/>
          <w:sz w:val="24"/>
        </w:rPr>
        <w:t>• Kết quả: chỉ có OR (Odds Ratio), KHÔNG có β chuẩn hóa, KHÔNG có R² — KHÔNG so sánh được với SEM của các nghiên cứu khác.</w:t>
      </w:r>
    </w:p>
    <w:p>
      <w:pPr>
        <w:jc w:val="both"/>
      </w:pPr>
      <w:r>
        <w:rPr>
          <w:b w:val="0"/>
          <w:i w:val="0"/>
          <w:color w:val="000000"/>
          <w:sz w:val="24"/>
        </w:rPr>
        <w:t>So sánh với chương 3 luận án CTH: dùng SEM với β chuẩn hóa (0,510 cho RLLATQ; 0,490 cho RLLAXH; 0,253 cho RLLACL) và R² = 0,284 cho mô hình ALHT → RLLA tổng. Các con số này CHO PHÉP so sánh trực tiếp với meta-analysis quốc tế (Walder 2025: g = 0,508 chung; g = 0,878 SAD-specific).</w:t>
      </w:r>
    </w:p>
    <w:p>
      <w:r>
        <w:rPr>
          <w:b/>
          <w:color w:val="1F497D"/>
          <w:sz w:val="24"/>
        </w:rPr>
        <w:t>2.4. KHÔNG phân tách 3 dạng RLLA — gộp thành "lo âu" tổng</w:t>
      </w:r>
    </w:p>
    <w:p>
      <w:pPr>
        <w:jc w:val="both"/>
      </w:pPr>
      <w:r>
        <w:rPr>
          <w:b w:val="0"/>
          <w:i w:val="0"/>
          <w:color w:val="000000"/>
          <w:sz w:val="24"/>
        </w:rPr>
        <w:t>DASS-Y có 1 thang con cho LO ÂU (anxiety subscale 6 mục) — KHÔNG phân biệt lo âu tổng quát, lo âu xã hội, và lo âu chia ly như RCADS. Hậu quả: VN020 chỉ có MỘT con số "tỷ lệ lo âu 25,1%" — không phân biệt được pattern theo loại RLLA.</w:t>
      </w:r>
    </w:p>
    <w:p>
      <w:pPr>
        <w:jc w:val="both"/>
      </w:pPr>
      <w:r>
        <w:rPr>
          <w:b w:val="0"/>
          <w:i w:val="0"/>
          <w:color w:val="000000"/>
          <w:sz w:val="24"/>
        </w:rPr>
        <w:t>Đây là hạn chế NGHIÊM TRỌNG vì y văn đã xác lập (chương 3 luận án CTH) các yếu tố nguy cơ có CƯỜNG ĐỘ KHÁC NHAU cho từng loại RLLA. Ví dụ:</w:t>
      </w:r>
    </w:p>
    <w:tbl>
      <w:tblPr>
        <w:tblStyle w:val="LightGrid-Accent1"/>
        <w:tblW w:type="auto" w:w="0"/>
        <w:tblLook w:firstColumn="1" w:firstRow="1" w:lastColumn="0" w:lastRow="0" w:noHBand="0" w:noVBand="1" w:val="04A0"/>
      </w:tblPr>
      <w:tblGrid>
        <w:gridCol w:w="1938"/>
        <w:gridCol w:w="1938"/>
        <w:gridCol w:w="1938"/>
        <w:gridCol w:w="1938"/>
        <w:gridCol w:w="1938"/>
      </w:tblGrid>
      <w:tr>
        <w:tc>
          <w:tcPr>
            <w:tcW w:type="dxa" w:w="1938"/>
          </w:tcPr>
          <w:p>
            <w:r>
              <w:rPr>
                <w:rFonts w:ascii="Times New Roman" w:hAnsi="Times New Roman"/>
                <w:sz w:val="20"/>
              </w:rPr>
              <w:t>Yếu tố</w:t>
            </w:r>
          </w:p>
        </w:tc>
        <w:tc>
          <w:tcPr>
            <w:tcW w:type="dxa" w:w="1938"/>
          </w:tcPr>
          <w:p>
            <w:r>
              <w:rPr>
                <w:rFonts w:ascii="Times New Roman" w:hAnsi="Times New Roman"/>
                <w:sz w:val="20"/>
              </w:rPr>
              <w:t>β cho RLLATQ</w:t>
            </w:r>
          </w:p>
        </w:tc>
        <w:tc>
          <w:tcPr>
            <w:tcW w:type="dxa" w:w="1938"/>
          </w:tcPr>
          <w:p>
            <w:r>
              <w:rPr>
                <w:rFonts w:ascii="Times New Roman" w:hAnsi="Times New Roman"/>
                <w:sz w:val="20"/>
              </w:rPr>
              <w:t>β cho RLLACL</w:t>
            </w:r>
          </w:p>
        </w:tc>
        <w:tc>
          <w:tcPr>
            <w:tcW w:type="dxa" w:w="1938"/>
          </w:tcPr>
          <w:p>
            <w:r>
              <w:rPr>
                <w:rFonts w:ascii="Times New Roman" w:hAnsi="Times New Roman"/>
                <w:sz w:val="20"/>
              </w:rPr>
              <w:t>β cho RLLAXH</w:t>
            </w:r>
          </w:p>
        </w:tc>
        <w:tc>
          <w:tcPr>
            <w:tcW w:type="dxa" w:w="1938"/>
          </w:tcPr>
          <w:p>
            <w:r>
              <w:rPr>
                <w:rFonts w:ascii="Times New Roman" w:hAnsi="Times New Roman"/>
                <w:sz w:val="20"/>
              </w:rPr>
              <w:t>Pattern</w:t>
            </w:r>
          </w:p>
        </w:tc>
      </w:tr>
      <w:tr>
        <w:tc>
          <w:tcPr>
            <w:tcW w:type="dxa" w:w="1938"/>
          </w:tcPr>
          <w:p>
            <w:r>
              <w:rPr>
                <w:rFonts w:ascii="Times New Roman" w:hAnsi="Times New Roman"/>
                <w:sz w:val="20"/>
              </w:rPr>
              <w:t>ALHT</w:t>
            </w:r>
          </w:p>
        </w:tc>
        <w:tc>
          <w:tcPr>
            <w:tcW w:type="dxa" w:w="1938"/>
          </w:tcPr>
          <w:p>
            <w:r>
              <w:rPr>
                <w:rFonts w:ascii="Times New Roman" w:hAnsi="Times New Roman"/>
                <w:sz w:val="20"/>
              </w:rPr>
              <w:t>0,510</w:t>
            </w:r>
          </w:p>
        </w:tc>
        <w:tc>
          <w:tcPr>
            <w:tcW w:type="dxa" w:w="1938"/>
          </w:tcPr>
          <w:p>
            <w:r>
              <w:rPr>
                <w:rFonts w:ascii="Times New Roman" w:hAnsi="Times New Roman"/>
                <w:sz w:val="20"/>
              </w:rPr>
              <w:t>0,253</w:t>
            </w:r>
          </w:p>
        </w:tc>
        <w:tc>
          <w:tcPr>
            <w:tcW w:type="dxa" w:w="1938"/>
          </w:tcPr>
          <w:p>
            <w:r>
              <w:rPr>
                <w:rFonts w:ascii="Times New Roman" w:hAnsi="Times New Roman"/>
                <w:sz w:val="20"/>
              </w:rPr>
              <w:t>0,490</w:t>
            </w:r>
          </w:p>
        </w:tc>
        <w:tc>
          <w:tcPr>
            <w:tcW w:type="dxa" w:w="1938"/>
          </w:tcPr>
          <w:p>
            <w:r>
              <w:rPr>
                <w:rFonts w:ascii="Times New Roman" w:hAnsi="Times New Roman"/>
                <w:sz w:val="20"/>
              </w:rPr>
              <w:t>Mạnh nhất ở tổng quát</w:t>
            </w:r>
          </w:p>
        </w:tc>
      </w:tr>
      <w:tr>
        <w:tc>
          <w:tcPr>
            <w:tcW w:type="dxa" w:w="1938"/>
          </w:tcPr>
          <w:p>
            <w:r>
              <w:rPr>
                <w:rFonts w:ascii="Times New Roman" w:hAnsi="Times New Roman"/>
                <w:sz w:val="20"/>
              </w:rPr>
              <w:t>Bắt nạt</w:t>
            </w:r>
          </w:p>
        </w:tc>
        <w:tc>
          <w:tcPr>
            <w:tcW w:type="dxa" w:w="1938"/>
          </w:tcPr>
          <w:p>
            <w:r>
              <w:rPr>
                <w:rFonts w:ascii="Times New Roman" w:hAnsi="Times New Roman"/>
                <w:sz w:val="20"/>
              </w:rPr>
              <w:t>0,215</w:t>
            </w:r>
          </w:p>
        </w:tc>
        <w:tc>
          <w:tcPr>
            <w:tcW w:type="dxa" w:w="1938"/>
          </w:tcPr>
          <w:p>
            <w:r>
              <w:rPr>
                <w:rFonts w:ascii="Times New Roman" w:hAnsi="Times New Roman"/>
                <w:sz w:val="20"/>
              </w:rPr>
              <w:t>0,376</w:t>
            </w:r>
          </w:p>
        </w:tc>
        <w:tc>
          <w:tcPr>
            <w:tcW w:type="dxa" w:w="1938"/>
          </w:tcPr>
          <w:p>
            <w:r>
              <w:rPr>
                <w:rFonts w:ascii="Times New Roman" w:hAnsi="Times New Roman"/>
                <w:sz w:val="20"/>
              </w:rPr>
              <w:t>0,253</w:t>
            </w:r>
          </w:p>
        </w:tc>
        <w:tc>
          <w:tcPr>
            <w:tcW w:type="dxa" w:w="1938"/>
          </w:tcPr>
          <w:p>
            <w:r>
              <w:rPr>
                <w:rFonts w:ascii="Times New Roman" w:hAnsi="Times New Roman"/>
                <w:sz w:val="20"/>
              </w:rPr>
              <w:t>Mạnh nhất ở chia ly (đặc biệt)</w:t>
            </w:r>
          </w:p>
        </w:tc>
      </w:tr>
      <w:tr>
        <w:tc>
          <w:tcPr>
            <w:tcW w:type="dxa" w:w="1938"/>
          </w:tcPr>
          <w:p>
            <w:r>
              <w:rPr>
                <w:rFonts w:ascii="Times New Roman" w:hAnsi="Times New Roman"/>
                <w:sz w:val="20"/>
              </w:rPr>
              <w:t>Tự trọng</w:t>
            </w:r>
          </w:p>
        </w:tc>
        <w:tc>
          <w:tcPr>
            <w:tcW w:type="dxa" w:w="1938"/>
          </w:tcPr>
          <w:p>
            <w:r>
              <w:rPr>
                <w:rFonts w:ascii="Times New Roman" w:hAnsi="Times New Roman"/>
                <w:sz w:val="20"/>
              </w:rPr>
              <w:t>−0,455</w:t>
            </w:r>
          </w:p>
        </w:tc>
        <w:tc>
          <w:tcPr>
            <w:tcW w:type="dxa" w:w="1938"/>
          </w:tcPr>
          <w:p>
            <w:r>
              <w:rPr>
                <w:rFonts w:ascii="Times New Roman" w:hAnsi="Times New Roman"/>
                <w:sz w:val="20"/>
              </w:rPr>
              <w:t>−0,087</w:t>
            </w:r>
          </w:p>
        </w:tc>
        <w:tc>
          <w:tcPr>
            <w:tcW w:type="dxa" w:w="1938"/>
          </w:tcPr>
          <w:p>
            <w:r>
              <w:rPr>
                <w:rFonts w:ascii="Times New Roman" w:hAnsi="Times New Roman"/>
                <w:sz w:val="20"/>
              </w:rPr>
              <w:t>−0,415</w:t>
            </w:r>
          </w:p>
        </w:tc>
        <w:tc>
          <w:tcPr>
            <w:tcW w:type="dxa" w:w="1938"/>
          </w:tcPr>
          <w:p>
            <w:r>
              <w:rPr>
                <w:rFonts w:ascii="Times New Roman" w:hAnsi="Times New Roman"/>
                <w:sz w:val="20"/>
              </w:rPr>
              <w:t>Bảo vệ mạnh ở tổng quát + xã hội</w:t>
            </w:r>
          </w:p>
        </w:tc>
      </w:tr>
      <w:tr>
        <w:tc>
          <w:tcPr>
            <w:tcW w:type="dxa" w:w="1938"/>
          </w:tcPr>
          <w:p>
            <w:r>
              <w:rPr>
                <w:rFonts w:ascii="Times New Roman" w:hAnsi="Times New Roman"/>
                <w:sz w:val="20"/>
              </w:rPr>
              <w:t>HTCM</w:t>
            </w:r>
          </w:p>
        </w:tc>
        <w:tc>
          <w:tcPr>
            <w:tcW w:type="dxa" w:w="1938"/>
          </w:tcPr>
          <w:p>
            <w:r>
              <w:rPr>
                <w:rFonts w:ascii="Times New Roman" w:hAnsi="Times New Roman"/>
                <w:sz w:val="20"/>
              </w:rPr>
              <w:t>−0,172</w:t>
            </w:r>
          </w:p>
        </w:tc>
        <w:tc>
          <w:tcPr>
            <w:tcW w:type="dxa" w:w="1938"/>
          </w:tcPr>
          <w:p>
            <w:r>
              <w:rPr>
                <w:rFonts w:ascii="Times New Roman" w:hAnsi="Times New Roman"/>
                <w:sz w:val="20"/>
              </w:rPr>
              <w:t>0,000</w:t>
            </w:r>
          </w:p>
        </w:tc>
        <w:tc>
          <w:tcPr>
            <w:tcW w:type="dxa" w:w="1938"/>
          </w:tcPr>
          <w:p>
            <w:r>
              <w:rPr>
                <w:rFonts w:ascii="Times New Roman" w:hAnsi="Times New Roman"/>
                <w:sz w:val="20"/>
              </w:rPr>
              <w:t>−0,273</w:t>
            </w:r>
          </w:p>
        </w:tc>
        <w:tc>
          <w:tcPr>
            <w:tcW w:type="dxa" w:w="1938"/>
          </w:tcPr>
          <w:p>
            <w:r>
              <w:rPr>
                <w:rFonts w:ascii="Times New Roman" w:hAnsi="Times New Roman"/>
                <w:sz w:val="20"/>
              </w:rPr>
              <w:t>Vắng mặt ở chia ly</w:t>
            </w:r>
          </w:p>
        </w:tc>
      </w:tr>
    </w:tbl>
    <w:p>
      <w:pPr>
        <w:jc w:val="both"/>
      </w:pPr>
      <w:r>
        <w:rPr>
          <w:b w:val="0"/>
          <w:i w:val="0"/>
          <w:color w:val="000000"/>
          <w:sz w:val="24"/>
        </w:rPr>
      </w:r>
    </w:p>
    <w:p>
      <w:pPr>
        <w:jc w:val="both"/>
      </w:pPr>
      <w:r>
        <w:rPr>
          <w:b w:val="0"/>
          <w:i w:val="0"/>
          <w:color w:val="000000"/>
          <w:sz w:val="24"/>
        </w:rPr>
        <w:t>Gộp thành "lo âu" tổng làm MẤT các phát hiện đặc thù — đặc biệt phát hiện β bắt nạt → lo âu chia ly mạnh nhất.</w:t>
      </w:r>
    </w:p>
    <w:p>
      <w:r>
        <w:rPr>
          <w:b/>
          <w:color w:val="1F497D"/>
          <w:sz w:val="24"/>
        </w:rPr>
        <w:t>2.5. BỎ SÓT 5 yếu tố quan trọng</w:t>
      </w:r>
    </w:p>
    <w:p>
      <w:pPr>
        <w:jc w:val="both"/>
      </w:pPr>
      <w:r>
        <w:rPr>
          <w:b w:val="0"/>
          <w:i w:val="0"/>
          <w:color w:val="000000"/>
          <w:sz w:val="24"/>
        </w:rPr>
        <w:t>VN020 đo: ALHT (ESSA) + cấu trúc gia đình (cha mẹ ly hôn) + kinh tế gia đình + giới tính. Tổng cộng ~4 nhóm yếu tố.</w:t>
      </w:r>
    </w:p>
    <w:p>
      <w:pPr>
        <w:jc w:val="both"/>
      </w:pPr>
      <w:r>
        <w:rPr>
          <w:b w:val="0"/>
          <w:i w:val="0"/>
          <w:color w:val="000000"/>
          <w:sz w:val="24"/>
        </w:rPr>
        <w:t>Y văn quốc tế đã xác lập NHIỀU yếu tố khác có cường độ tác động đáng kể, mà VN020 KHÔNG đo:</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Yếu tố thiếu</w:t>
            </w:r>
          </w:p>
        </w:tc>
        <w:tc>
          <w:tcPr>
            <w:tcW w:type="dxa" w:w="3230"/>
          </w:tcPr>
          <w:p>
            <w:r>
              <w:rPr>
                <w:rFonts w:ascii="Times New Roman" w:hAnsi="Times New Roman"/>
                <w:sz w:val="20"/>
              </w:rPr>
              <w:t>Y văn quốc tế</w:t>
            </w:r>
          </w:p>
        </w:tc>
        <w:tc>
          <w:tcPr>
            <w:tcW w:type="dxa" w:w="3230"/>
          </w:tcPr>
          <w:p>
            <w:r>
              <w:rPr>
                <w:rFonts w:ascii="Times New Roman" w:hAnsi="Times New Roman"/>
                <w:sz w:val="20"/>
              </w:rPr>
              <w:t>Cường độ trong chương 3 CTH</w:t>
            </w:r>
          </w:p>
        </w:tc>
      </w:tr>
      <w:tr>
        <w:tc>
          <w:tcPr>
            <w:tcW w:type="dxa" w:w="3230"/>
          </w:tcPr>
          <w:p>
            <w:r>
              <w:rPr>
                <w:rFonts w:ascii="Times New Roman" w:hAnsi="Times New Roman"/>
                <w:sz w:val="20"/>
              </w:rPr>
              <w:t>Bắt nạt học đường</w:t>
            </w:r>
          </w:p>
        </w:tc>
        <w:tc>
          <w:tcPr>
            <w:tcW w:type="dxa" w:w="3230"/>
          </w:tcPr>
          <w:p>
            <w:r>
              <w:rPr>
                <w:rFonts w:ascii="Times New Roman" w:hAnsi="Times New Roman"/>
                <w:sz w:val="20"/>
              </w:rPr>
              <w:t>Olweus 1996; meta-analysis OR=4,72</w:t>
            </w:r>
          </w:p>
        </w:tc>
        <w:tc>
          <w:tcPr>
            <w:tcW w:type="dxa" w:w="3230"/>
          </w:tcPr>
          <w:p>
            <w:r>
              <w:rPr>
                <w:rFonts w:ascii="Times New Roman" w:hAnsi="Times New Roman"/>
                <w:sz w:val="20"/>
              </w:rPr>
              <w:t>β = 0,376 cho RLLACL — mạnh nhất</w:t>
            </w:r>
          </w:p>
        </w:tc>
      </w:tr>
      <w:tr>
        <w:tc>
          <w:tcPr>
            <w:tcW w:type="dxa" w:w="3230"/>
          </w:tcPr>
          <w:p>
            <w:r>
              <w:rPr>
                <w:rFonts w:ascii="Times New Roman" w:hAnsi="Times New Roman"/>
                <w:sz w:val="20"/>
              </w:rPr>
              <w:t>Tự trọng</w:t>
            </w:r>
          </w:p>
        </w:tc>
        <w:tc>
          <w:tcPr>
            <w:tcW w:type="dxa" w:w="3230"/>
          </w:tcPr>
          <w:p>
            <w:r>
              <w:rPr>
                <w:rFonts w:ascii="Times New Roman" w:hAnsi="Times New Roman"/>
                <w:sz w:val="20"/>
              </w:rPr>
              <w:t>Sowislo &amp; Orth 2013 meta 95 NC</w:t>
            </w:r>
          </w:p>
        </w:tc>
        <w:tc>
          <w:tcPr>
            <w:tcW w:type="dxa" w:w="3230"/>
          </w:tcPr>
          <w:p>
            <w:r>
              <w:rPr>
                <w:rFonts w:ascii="Times New Roman" w:hAnsi="Times New Roman"/>
                <w:sz w:val="20"/>
              </w:rPr>
              <w:t>β = −0,455 — bảo vệ mạnh nhất</w:t>
            </w:r>
          </w:p>
        </w:tc>
      </w:tr>
      <w:tr>
        <w:tc>
          <w:tcPr>
            <w:tcW w:type="dxa" w:w="3230"/>
          </w:tcPr>
          <w:p>
            <w:r>
              <w:rPr>
                <w:rFonts w:ascii="Times New Roman" w:hAnsi="Times New Roman"/>
                <w:sz w:val="20"/>
              </w:rPr>
              <w:t>Hỗ trợ cha mẹ</w:t>
            </w:r>
          </w:p>
        </w:tc>
        <w:tc>
          <w:tcPr>
            <w:tcW w:type="dxa" w:w="3230"/>
          </w:tcPr>
          <w:p>
            <w:r>
              <w:rPr>
                <w:rFonts w:ascii="Times New Roman" w:hAnsi="Times New Roman"/>
                <w:sz w:val="20"/>
              </w:rPr>
              <w:t>Phạm 2024 (VN003) β = −0,40</w:t>
            </w:r>
          </w:p>
        </w:tc>
        <w:tc>
          <w:tcPr>
            <w:tcW w:type="dxa" w:w="3230"/>
          </w:tcPr>
          <w:p>
            <w:r>
              <w:rPr>
                <w:rFonts w:ascii="Times New Roman" w:hAnsi="Times New Roman"/>
                <w:sz w:val="20"/>
              </w:rPr>
              <w:t>β = −0,273 cho RLLAXH</w:t>
            </w:r>
          </w:p>
        </w:tc>
      </w:tr>
      <w:tr>
        <w:tc>
          <w:tcPr>
            <w:tcW w:type="dxa" w:w="3230"/>
          </w:tcPr>
          <w:p>
            <w:r>
              <w:rPr>
                <w:rFonts w:ascii="Times New Roman" w:hAnsi="Times New Roman"/>
                <w:sz w:val="20"/>
              </w:rPr>
              <w:t>Nghiện điện thoại</w:t>
            </w:r>
          </w:p>
        </w:tc>
        <w:tc>
          <w:tcPr>
            <w:tcW w:type="dxa" w:w="3230"/>
          </w:tcPr>
          <w:p>
            <w:r>
              <w:rPr>
                <w:rFonts w:ascii="Times New Roman" w:hAnsi="Times New Roman"/>
                <w:sz w:val="20"/>
              </w:rPr>
              <w:t>Sohn 2019 meta 41 NC OR = 3,05</w:t>
            </w:r>
          </w:p>
        </w:tc>
        <w:tc>
          <w:tcPr>
            <w:tcW w:type="dxa" w:w="3230"/>
          </w:tcPr>
          <w:p>
            <w:r>
              <w:rPr>
                <w:rFonts w:ascii="Times New Roman" w:hAnsi="Times New Roman"/>
                <w:sz w:val="20"/>
              </w:rPr>
              <w:t>β = 0,383 cho RLLAXH</w:t>
            </w:r>
          </w:p>
        </w:tc>
      </w:tr>
      <w:tr>
        <w:tc>
          <w:tcPr>
            <w:tcW w:type="dxa" w:w="3230"/>
          </w:tcPr>
          <w:p>
            <w:r>
              <w:rPr>
                <w:rFonts w:ascii="Times New Roman" w:hAnsi="Times New Roman"/>
                <w:sz w:val="20"/>
              </w:rPr>
              <w:t>Biện pháp đối phó</w:t>
            </w:r>
          </w:p>
        </w:tc>
        <w:tc>
          <w:tcPr>
            <w:tcW w:type="dxa" w:w="3230"/>
          </w:tcPr>
          <w:p>
            <w:r>
              <w:rPr>
                <w:rFonts w:ascii="Times New Roman" w:hAnsi="Times New Roman"/>
                <w:sz w:val="20"/>
              </w:rPr>
              <w:t>Compas 2017 meta 212 NC</w:t>
            </w:r>
          </w:p>
        </w:tc>
        <w:tc>
          <w:tcPr>
            <w:tcW w:type="dxa" w:w="3230"/>
          </w:tcPr>
          <w:p>
            <w:r>
              <w:rPr>
                <w:rFonts w:ascii="Times New Roman" w:hAnsi="Times New Roman"/>
                <w:sz w:val="20"/>
              </w:rPr>
              <w:t>β = 0,749 (fit kém — exploratory)</w:t>
            </w:r>
          </w:p>
        </w:tc>
      </w:tr>
    </w:tbl>
    <w:p>
      <w:pPr>
        <w:jc w:val="both"/>
      </w:pPr>
      <w:r>
        <w:rPr>
          <w:b w:val="0"/>
          <w:i w:val="0"/>
          <w:color w:val="000000"/>
          <w:sz w:val="24"/>
        </w:rPr>
      </w:r>
    </w:p>
    <w:p>
      <w:pPr>
        <w:jc w:val="both"/>
      </w:pPr>
      <w:r>
        <w:rPr>
          <w:b w:val="0"/>
          <w:i w:val="0"/>
          <w:color w:val="000000"/>
          <w:sz w:val="24"/>
        </w:rPr>
        <w:t>Việc thiếu 5 yếu tố này khiến mô hình hồi quy logistic của VN020 BỎ SÓT phần lớn phương sai có thể giải thích — kết luận "ESSA là yếu tố mạnh nhất" có thể bị OVERESTIMATE vì không kiểm soát các yếu tố khác.</w:t>
      </w:r>
    </w:p>
    <w:p>
      <w:r>
        <w:rPr>
          <w:b/>
          <w:color w:val="1F497D"/>
          <w:sz w:val="24"/>
        </w:rPr>
        <w:t>2.6. DASS-Y CHƯA PHỔ BIẾN quốc tế — khó so sánh meta-analysis</w:t>
      </w:r>
    </w:p>
    <w:p>
      <w:pPr>
        <w:jc w:val="both"/>
      </w:pPr>
      <w:r>
        <w:rPr>
          <w:b w:val="0"/>
          <w:i w:val="0"/>
          <w:color w:val="000000"/>
          <w:sz w:val="24"/>
        </w:rPr>
        <w:t>DASS-Y (Szabó 2010) là phiên bản VTN của DASS-21 với ngưỡng RIÊNG (lo âu ≥6, trầm cảm ≥7, stress ≥12 — thấp hơn DASS-21 người lớn). Đây là đóng góp phương pháp luận, NHƯNG:</w:t>
      </w:r>
    </w:p>
    <w:p>
      <w:pPr>
        <w:jc w:val="both"/>
      </w:pPr>
      <w:r>
        <w:rPr>
          <w:b w:val="0"/>
          <w:i w:val="0"/>
          <w:color w:val="000000"/>
          <w:sz w:val="24"/>
        </w:rPr>
        <w:t>• DASS-Y CHƯA được sử dụng rộng rãi trong y văn quốc tế.</w:t>
      </w:r>
    </w:p>
    <w:p>
      <w:pPr>
        <w:jc w:val="both"/>
      </w:pPr>
      <w:r>
        <w:rPr>
          <w:b w:val="0"/>
          <w:i w:val="0"/>
          <w:color w:val="000000"/>
          <w:sz w:val="24"/>
        </w:rPr>
        <w:t>• Không có META-ANALYSIS DASS-Y vs DASS-21 trên cùng mẫu để chứng minh ngưỡng riêng phù hợp.</w:t>
      </w:r>
    </w:p>
    <w:p>
      <w:pPr>
        <w:jc w:val="both"/>
      </w:pPr>
      <w:r>
        <w:rPr>
          <w:b w:val="0"/>
          <w:i w:val="0"/>
          <w:color w:val="000000"/>
          <w:sz w:val="24"/>
        </w:rPr>
        <w:t>• Tỷ lệ lo âu VN020 (25,1%) THẤP HƠN ĐÁNG KỂ so với các bài VN dùng DASS-21 (40,6% Hoa 2024; 53,81% Phạm Thị Ngọc 2024 Cộng Hiền; 86,2% Bảo Quyên 2025) — gợi ý NGƯỠNG DASS-Y có thể QUÁ NGHIÊM, làm thiếu phát hiện vấn đề.</w:t>
      </w:r>
    </w:p>
    <w:p>
      <w:pPr>
        <w:jc w:val="both"/>
      </w:pPr>
      <w:r>
        <w:rPr>
          <w:b w:val="0"/>
          <w:i w:val="0"/>
          <w:color w:val="000000"/>
          <w:sz w:val="24"/>
        </w:rPr>
        <w:t>Đề xuất sửa: nghiên cứu kế tiếp NÊN dùng CẢ DASS-Y và DASS-21 trên CÙNG mẫu để so sánh ngưỡng — như tác giả VN020 cũng đã đề xuất trong "Hướng nghiên cứu tiếp theo".</w:t>
      </w:r>
    </w:p>
    <w:p>
      <w:r>
        <w:rPr>
          <w:b/>
          <w:color w:val="1F497D"/>
          <w:sz w:val="24"/>
        </w:rPr>
        <w:t>2.7. TẠP CHÍ Y học TPHCM không có chỉ mục PubMed/Scopus</w:t>
      </w:r>
    </w:p>
    <w:p>
      <w:pPr>
        <w:jc w:val="both"/>
      </w:pPr>
      <w:r>
        <w:rPr>
          <w:b w:val="0"/>
          <w:i w:val="0"/>
          <w:color w:val="000000"/>
          <w:sz w:val="24"/>
        </w:rPr>
        <w:t>Tạp chí Y học TPHCM là tạp chí trong nước, KHÔNG có chỉ mục quốc tế (PubMed, Scopus, Web of Science). Hậu quả:</w:t>
      </w:r>
    </w:p>
    <w:p>
      <w:pPr>
        <w:jc w:val="both"/>
      </w:pPr>
      <w:r>
        <w:rPr>
          <w:b w:val="0"/>
          <w:i w:val="0"/>
          <w:color w:val="000000"/>
          <w:sz w:val="24"/>
        </w:rPr>
        <w:t>• Nghiên cứu KHÓ được trích dẫn trong meta-analysis quốc tế.</w:t>
      </w:r>
    </w:p>
    <w:p>
      <w:pPr>
        <w:jc w:val="both"/>
      </w:pPr>
      <w:r>
        <w:rPr>
          <w:b w:val="0"/>
          <w:i w:val="0"/>
          <w:color w:val="000000"/>
          <w:sz w:val="24"/>
        </w:rPr>
        <w:t>• Đánh giá peer-review không cùng chuẩn với tạp chí Q1.</w:t>
      </w:r>
    </w:p>
    <w:p>
      <w:pPr>
        <w:jc w:val="both"/>
      </w:pPr>
      <w:r>
        <w:rPr>
          <w:b w:val="0"/>
          <w:i w:val="0"/>
          <w:color w:val="000000"/>
          <w:sz w:val="24"/>
        </w:rPr>
        <w:t>• Không có DOI quốc tế chuẩn (chỉ có DOI nội địa nếu có).</w:t>
      </w:r>
    </w:p>
    <w:p>
      <w:pPr>
        <w:jc w:val="both"/>
      </w:pPr>
      <w:r>
        <w:rPr>
          <w:b w:val="0"/>
          <w:i w:val="0"/>
          <w:color w:val="000000"/>
          <w:sz w:val="24"/>
        </w:rPr>
        <w:t>So sánh: VN029 (Trúc Thanh Thái 2025) cùng đề tài SKTT HS THPT TPHCM nhưng đăng trên Social Psychiatry and Psychiatric Epidemiology (Q1, peer-reviewed quốc tế) — sẽ được trích dẫn nhiều hơn trong y văn quốc tế.</w:t>
      </w:r>
    </w:p>
    <w:p>
      <w:r>
        <w:rPr>
          <w:b/>
          <w:color w:val="1F497D"/>
          <w:sz w:val="26"/>
        </w:rPr>
        <w:t>3. So sánh VN020 với chương 3 luận án CTH</w:t>
      </w:r>
    </w:p>
    <w:p>
      <w:pPr>
        <w:jc w:val="center"/>
      </w:pPr>
      <w:r>
        <w:rPr>
          <w:b/>
          <w:sz w:val="22"/>
        </w:rPr>
        <w:t>Bảng 1. So sánh VN020 vs Chương 3 luận án về cách đo và phân tích ALHT</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Đặc điểm</w:t>
            </w:r>
          </w:p>
        </w:tc>
        <w:tc>
          <w:tcPr>
            <w:tcW w:type="dxa" w:w="3230"/>
          </w:tcPr>
          <w:p>
            <w:r>
              <w:rPr>
                <w:rFonts w:ascii="Times New Roman" w:hAnsi="Times New Roman"/>
                <w:sz w:val="20"/>
              </w:rPr>
              <w:t>VN020 (Trần Hồ Vĩnh Lộc 2024)</w:t>
            </w:r>
          </w:p>
        </w:tc>
        <w:tc>
          <w:tcPr>
            <w:tcW w:type="dxa" w:w="3230"/>
          </w:tcPr>
          <w:p>
            <w:r>
              <w:rPr>
                <w:rFonts w:ascii="Times New Roman" w:hAnsi="Times New Roman"/>
                <w:sz w:val="20"/>
              </w:rPr>
              <w:t>Chương 3 luận án CTH</w:t>
            </w:r>
          </w:p>
        </w:tc>
      </w:tr>
      <w:tr>
        <w:tc>
          <w:tcPr>
            <w:tcW w:type="dxa" w:w="3230"/>
          </w:tcPr>
          <w:p>
            <w:r>
              <w:rPr>
                <w:rFonts w:ascii="Times New Roman" w:hAnsi="Times New Roman"/>
                <w:sz w:val="20"/>
              </w:rPr>
              <w:t>Cỡ mẫu</w:t>
            </w:r>
          </w:p>
        </w:tc>
        <w:tc>
          <w:tcPr>
            <w:tcW w:type="dxa" w:w="3230"/>
          </w:tcPr>
          <w:p>
            <w:r>
              <w:rPr>
                <w:rFonts w:ascii="Times New Roman" w:hAnsi="Times New Roman"/>
                <w:sz w:val="20"/>
              </w:rPr>
              <w:t>976 HS THPT (2 trường TPHCM)</w:t>
            </w:r>
          </w:p>
        </w:tc>
        <w:tc>
          <w:tcPr>
            <w:tcW w:type="dxa" w:w="3230"/>
          </w:tcPr>
          <w:p>
            <w:r>
              <w:rPr>
                <w:rFonts w:ascii="Times New Roman" w:hAnsi="Times New Roman"/>
                <w:sz w:val="20"/>
              </w:rPr>
              <w:t>1.352 HS THCS (đa trường)</w:t>
            </w:r>
          </w:p>
        </w:tc>
      </w:tr>
      <w:tr>
        <w:tc>
          <w:tcPr>
            <w:tcW w:type="dxa" w:w="3230"/>
          </w:tcPr>
          <w:p>
            <w:r>
              <w:rPr>
                <w:rFonts w:ascii="Times New Roman" w:hAnsi="Times New Roman"/>
                <w:sz w:val="20"/>
              </w:rPr>
              <w:t>Cấp học</w:t>
            </w:r>
          </w:p>
        </w:tc>
        <w:tc>
          <w:tcPr>
            <w:tcW w:type="dxa" w:w="3230"/>
          </w:tcPr>
          <w:p>
            <w:r>
              <w:rPr>
                <w:rFonts w:ascii="Times New Roman" w:hAnsi="Times New Roman"/>
                <w:sz w:val="20"/>
              </w:rPr>
              <w:t>THPT</w:t>
            </w:r>
          </w:p>
        </w:tc>
        <w:tc>
          <w:tcPr>
            <w:tcW w:type="dxa" w:w="3230"/>
          </w:tcPr>
          <w:p>
            <w:r>
              <w:rPr>
                <w:rFonts w:ascii="Times New Roman" w:hAnsi="Times New Roman"/>
                <w:sz w:val="20"/>
              </w:rPr>
              <w:t>THCS</w:t>
            </w:r>
          </w:p>
        </w:tc>
      </w:tr>
      <w:tr>
        <w:tc>
          <w:tcPr>
            <w:tcW w:type="dxa" w:w="3230"/>
          </w:tcPr>
          <w:p>
            <w:r>
              <w:rPr>
                <w:rFonts w:ascii="Times New Roman" w:hAnsi="Times New Roman"/>
                <w:sz w:val="20"/>
              </w:rPr>
              <w:t>Thang đo lo âu</w:t>
            </w:r>
          </w:p>
        </w:tc>
        <w:tc>
          <w:tcPr>
            <w:tcW w:type="dxa" w:w="3230"/>
          </w:tcPr>
          <w:p>
            <w:r>
              <w:rPr>
                <w:rFonts w:ascii="Times New Roman" w:hAnsi="Times New Roman"/>
                <w:sz w:val="20"/>
              </w:rPr>
              <w:t>DASS-Y (1 thang con anxiety)</w:t>
            </w:r>
          </w:p>
        </w:tc>
        <w:tc>
          <w:tcPr>
            <w:tcW w:type="dxa" w:w="3230"/>
          </w:tcPr>
          <w:p>
            <w:r>
              <w:rPr>
                <w:rFonts w:ascii="Times New Roman" w:hAnsi="Times New Roman"/>
                <w:sz w:val="20"/>
              </w:rPr>
              <w:t>RCADS (3 thang con: TQ, CL, XH)</w:t>
            </w:r>
          </w:p>
        </w:tc>
      </w:tr>
      <w:tr>
        <w:tc>
          <w:tcPr>
            <w:tcW w:type="dxa" w:w="3230"/>
          </w:tcPr>
          <w:p>
            <w:r>
              <w:rPr>
                <w:rFonts w:ascii="Times New Roman" w:hAnsi="Times New Roman"/>
                <w:sz w:val="20"/>
              </w:rPr>
              <w:t>Thang đo ALHT</w:t>
            </w:r>
          </w:p>
        </w:tc>
        <w:tc>
          <w:tcPr>
            <w:tcW w:type="dxa" w:w="3230"/>
          </w:tcPr>
          <w:p>
            <w:r>
              <w:rPr>
                <w:rFonts w:ascii="Times New Roman" w:hAnsi="Times New Roman"/>
                <w:sz w:val="20"/>
              </w:rPr>
              <w:t>ESSA full 16 mục, α=0,81</w:t>
            </w:r>
          </w:p>
        </w:tc>
        <w:tc>
          <w:tcPr>
            <w:tcW w:type="dxa" w:w="3230"/>
          </w:tcPr>
          <w:p>
            <w:r>
              <w:rPr>
                <w:rFonts w:ascii="Times New Roman" w:hAnsi="Times New Roman"/>
                <w:sz w:val="20"/>
              </w:rPr>
              <w:t>ESSA rút gọn 4 mục</w:t>
            </w:r>
          </w:p>
        </w:tc>
      </w:tr>
      <w:tr>
        <w:tc>
          <w:tcPr>
            <w:tcW w:type="dxa" w:w="3230"/>
          </w:tcPr>
          <w:p>
            <w:r>
              <w:rPr>
                <w:rFonts w:ascii="Times New Roman" w:hAnsi="Times New Roman"/>
                <w:sz w:val="20"/>
              </w:rPr>
              <w:t>Phân tích thống kê</w:t>
            </w:r>
          </w:p>
        </w:tc>
        <w:tc>
          <w:tcPr>
            <w:tcW w:type="dxa" w:w="3230"/>
          </w:tcPr>
          <w:p>
            <w:r>
              <w:rPr>
                <w:rFonts w:ascii="Times New Roman" w:hAnsi="Times New Roman"/>
                <w:sz w:val="20"/>
              </w:rPr>
              <w:t>Hồi quy logistic đa biến (OR)</w:t>
            </w:r>
          </w:p>
        </w:tc>
        <w:tc>
          <w:tcPr>
            <w:tcW w:type="dxa" w:w="3230"/>
          </w:tcPr>
          <w:p>
            <w:r>
              <w:rPr>
                <w:rFonts w:ascii="Times New Roman" w:hAnsi="Times New Roman"/>
                <w:sz w:val="20"/>
              </w:rPr>
              <w:t>SEM (β chuẩn hóa, R², CFI, RMSEA)</w:t>
            </w:r>
          </w:p>
        </w:tc>
      </w:tr>
      <w:tr>
        <w:tc>
          <w:tcPr>
            <w:tcW w:type="dxa" w:w="3230"/>
          </w:tcPr>
          <w:p>
            <w:r>
              <w:rPr>
                <w:rFonts w:ascii="Times New Roman" w:hAnsi="Times New Roman"/>
                <w:sz w:val="20"/>
              </w:rPr>
              <w:t>Phân tách 3 dạng RLLA</w:t>
            </w:r>
          </w:p>
        </w:tc>
        <w:tc>
          <w:tcPr>
            <w:tcW w:type="dxa" w:w="3230"/>
          </w:tcPr>
          <w:p>
            <w:r>
              <w:rPr>
                <w:rFonts w:ascii="Times New Roman" w:hAnsi="Times New Roman"/>
                <w:sz w:val="20"/>
              </w:rPr>
              <w:t>✗ KHÔNG (chỉ "lo âu" tổng)</w:t>
            </w:r>
          </w:p>
        </w:tc>
        <w:tc>
          <w:tcPr>
            <w:tcW w:type="dxa" w:w="3230"/>
          </w:tcPr>
          <w:p>
            <w:r>
              <w:rPr>
                <w:rFonts w:ascii="Times New Roman" w:hAnsi="Times New Roman"/>
                <w:sz w:val="20"/>
              </w:rPr>
              <w:t>✓ CÓ (RLLATQ, RLLACL, RLLAXH riêng)</w:t>
            </w:r>
          </w:p>
        </w:tc>
      </w:tr>
      <w:tr>
        <w:tc>
          <w:tcPr>
            <w:tcW w:type="dxa" w:w="3230"/>
          </w:tcPr>
          <w:p>
            <w:r>
              <w:rPr>
                <w:rFonts w:ascii="Times New Roman" w:hAnsi="Times New Roman"/>
                <w:sz w:val="20"/>
              </w:rPr>
              <w:t>Số yếu tố nguy cơ</w:t>
            </w:r>
          </w:p>
        </w:tc>
        <w:tc>
          <w:tcPr>
            <w:tcW w:type="dxa" w:w="3230"/>
          </w:tcPr>
          <w:p>
            <w:r>
              <w:rPr>
                <w:rFonts w:ascii="Times New Roman" w:hAnsi="Times New Roman"/>
                <w:sz w:val="20"/>
              </w:rPr>
              <w:t>1 (ALHT)</w:t>
            </w:r>
          </w:p>
        </w:tc>
        <w:tc>
          <w:tcPr>
            <w:tcW w:type="dxa" w:w="3230"/>
          </w:tcPr>
          <w:p>
            <w:r>
              <w:rPr>
                <w:rFonts w:ascii="Times New Roman" w:hAnsi="Times New Roman"/>
                <w:sz w:val="20"/>
              </w:rPr>
              <w:t>3 (ALHT, NĐT, BNHĐ)</w:t>
            </w:r>
          </w:p>
        </w:tc>
      </w:tr>
      <w:tr>
        <w:tc>
          <w:tcPr>
            <w:tcW w:type="dxa" w:w="3230"/>
          </w:tcPr>
          <w:p>
            <w:r>
              <w:rPr>
                <w:rFonts w:ascii="Times New Roman" w:hAnsi="Times New Roman"/>
                <w:sz w:val="20"/>
              </w:rPr>
              <w:t>Số yếu tố bảo vệ</w:t>
            </w:r>
          </w:p>
        </w:tc>
        <w:tc>
          <w:tcPr>
            <w:tcW w:type="dxa" w:w="3230"/>
          </w:tcPr>
          <w:p>
            <w:r>
              <w:rPr>
                <w:rFonts w:ascii="Times New Roman" w:hAnsi="Times New Roman"/>
                <w:sz w:val="20"/>
              </w:rPr>
              <w:t>0</w:t>
            </w:r>
          </w:p>
        </w:tc>
        <w:tc>
          <w:tcPr>
            <w:tcW w:type="dxa" w:w="3230"/>
          </w:tcPr>
          <w:p>
            <w:r>
              <w:rPr>
                <w:rFonts w:ascii="Times New Roman" w:hAnsi="Times New Roman"/>
                <w:sz w:val="20"/>
              </w:rPr>
              <w:t>4 (TTr, GBTH, HTCM, HTBB)</w:t>
            </w:r>
          </w:p>
        </w:tc>
      </w:tr>
      <w:tr>
        <w:tc>
          <w:tcPr>
            <w:tcW w:type="dxa" w:w="3230"/>
          </w:tcPr>
          <w:p>
            <w:r>
              <w:rPr>
                <w:rFonts w:ascii="Times New Roman" w:hAnsi="Times New Roman"/>
                <w:sz w:val="20"/>
              </w:rPr>
              <w:t>Mô hình tích hợp</w:t>
            </w:r>
          </w:p>
        </w:tc>
        <w:tc>
          <w:tcPr>
            <w:tcW w:type="dxa" w:w="3230"/>
          </w:tcPr>
          <w:p>
            <w:r>
              <w:rPr>
                <w:rFonts w:ascii="Times New Roman" w:hAnsi="Times New Roman"/>
                <w:sz w:val="20"/>
              </w:rPr>
              <w:t>✗</w:t>
            </w:r>
          </w:p>
        </w:tc>
        <w:tc>
          <w:tcPr>
            <w:tcW w:type="dxa" w:w="3230"/>
          </w:tcPr>
          <w:p>
            <w:r>
              <w:rPr>
                <w:rFonts w:ascii="Times New Roman" w:hAnsi="Times New Roman"/>
                <w:sz w:val="20"/>
              </w:rPr>
              <w:t>✓ YTNC + YTBV (R²=0,598)</w:t>
            </w:r>
          </w:p>
        </w:tc>
      </w:tr>
      <w:tr>
        <w:tc>
          <w:tcPr>
            <w:tcW w:type="dxa" w:w="3230"/>
          </w:tcPr>
          <w:p>
            <w:r>
              <w:rPr>
                <w:rFonts w:ascii="Times New Roman" w:hAnsi="Times New Roman"/>
                <w:sz w:val="20"/>
              </w:rPr>
              <w:t>Tạp chí</w:t>
            </w:r>
          </w:p>
        </w:tc>
        <w:tc>
          <w:tcPr>
            <w:tcW w:type="dxa" w:w="3230"/>
          </w:tcPr>
          <w:p>
            <w:r>
              <w:rPr>
                <w:rFonts w:ascii="Times New Roman" w:hAnsi="Times New Roman"/>
                <w:sz w:val="20"/>
              </w:rPr>
              <w:t>Y học TPHCM (trong nước)</w:t>
            </w:r>
          </w:p>
        </w:tc>
        <w:tc>
          <w:tcPr>
            <w:tcW w:type="dxa" w:w="3230"/>
          </w:tcPr>
          <w:p>
            <w:r>
              <w:rPr>
                <w:rFonts w:ascii="Times New Roman" w:hAnsi="Times New Roman"/>
                <w:sz w:val="20"/>
              </w:rPr>
              <w:t>Luận án (sẽ xuất bản)</w:t>
            </w:r>
          </w:p>
        </w:tc>
      </w:tr>
      <w:tr>
        <w:tc>
          <w:tcPr>
            <w:tcW w:type="dxa" w:w="3230"/>
          </w:tcPr>
          <w:p>
            <w:r>
              <w:rPr>
                <w:rFonts w:ascii="Times New Roman" w:hAnsi="Times New Roman"/>
                <w:sz w:val="20"/>
              </w:rPr>
              <w:t>ƯU ĐIỂM ĐỘC ĐÁO</w:t>
            </w:r>
          </w:p>
        </w:tc>
        <w:tc>
          <w:tcPr>
            <w:tcW w:type="dxa" w:w="3230"/>
          </w:tcPr>
          <w:p>
            <w:r>
              <w:rPr>
                <w:rFonts w:ascii="Times New Roman" w:hAnsi="Times New Roman"/>
                <w:sz w:val="20"/>
              </w:rPr>
              <w:t>ESSA full + DASS-Y</w:t>
            </w:r>
          </w:p>
        </w:tc>
        <w:tc>
          <w:tcPr>
            <w:tcW w:type="dxa" w:w="3230"/>
          </w:tcPr>
          <w:p>
            <w:r>
              <w:rPr>
                <w:rFonts w:ascii="Times New Roman" w:hAnsi="Times New Roman"/>
                <w:sz w:val="20"/>
              </w:rPr>
              <w:t>SEM tích hợp + 8 yếu tố</w:t>
            </w:r>
          </w:p>
        </w:tc>
      </w:tr>
    </w:tbl>
    <w:p>
      <w:pPr>
        <w:jc w:val="both"/>
      </w:pPr>
      <w:r>
        <w:rPr>
          <w:b w:val="0"/>
          <w:i w:val="0"/>
          <w:color w:val="000000"/>
          <w:sz w:val="24"/>
        </w:rPr>
      </w:r>
    </w:p>
    <w:p>
      <w:pPr>
        <w:jc w:val="both"/>
      </w:pPr>
      <w:r>
        <w:rPr>
          <w:b/>
          <w:i w:val="0"/>
          <w:color w:val="000000"/>
          <w:sz w:val="24"/>
        </w:rPr>
        <w:t>Kết luận so sánh: VN020 có ƯU thế ở thang đo (ESSA full + DASS-Y phiên bản VTN), nhưng YẾU hơn ở phân tích thống kê (logistic vs SEM) và phạm vi yếu tố (1 vs 7). Chương 3 luận án CTH có thiết kế TOÀN DIỆN HƠN — phù hợp lấp KHOẢNG TRỐNG mà VN020 để lại.</w:t>
      </w:r>
    </w:p>
    <w:p>
      <w:r>
        <w:rPr>
          <w:b/>
          <w:color w:val="1F497D"/>
          <w:sz w:val="26"/>
        </w:rPr>
        <w:t>4. Bốn đề xuất cho nghiên cứu kế tiếp</w:t>
      </w:r>
    </w:p>
    <w:p>
      <w:pPr>
        <w:jc w:val="both"/>
      </w:pPr>
      <w:r>
        <w:rPr>
          <w:b/>
          <w:i w:val="0"/>
          <w:color w:val="000000"/>
          <w:sz w:val="24"/>
        </w:rPr>
        <w:t>ĐỀ XUẤT 1 — Mở rộng cỡ mẫu + đa trường</w:t>
      </w:r>
    </w:p>
    <w:p>
      <w:pPr>
        <w:jc w:val="both"/>
      </w:pPr>
      <w:r>
        <w:rPr>
          <w:b w:val="0"/>
          <w:i w:val="0"/>
          <w:color w:val="000000"/>
          <w:sz w:val="24"/>
        </w:rPr>
        <w:t>Chọn TỐI THIỂU 8–10 trường THPT TPHCM (chính quy + GDTX + chuyên + dân lập) bằng probability proportional to size (PPS). Lấy lớp ngẫu nhiên trong từng trường (không thuận tiện). Cỡ mẫu mục tiêu n = 2.500–3.000 (như VN029).</w:t>
      </w:r>
    </w:p>
    <w:p>
      <w:pPr>
        <w:jc w:val="both"/>
      </w:pPr>
      <w:r>
        <w:rPr>
          <w:b w:val="0"/>
          <w:i w:val="0"/>
          <w:color w:val="000000"/>
          <w:sz w:val="24"/>
        </w:rPr>
      </w:r>
    </w:p>
    <w:p>
      <w:pPr>
        <w:jc w:val="both"/>
      </w:pPr>
      <w:r>
        <w:rPr>
          <w:b/>
          <w:i w:val="0"/>
          <w:color w:val="000000"/>
          <w:sz w:val="24"/>
        </w:rPr>
        <w:t>ĐỀ XUẤT 2 — Thay logistic bằng SEM</w:t>
      </w:r>
    </w:p>
    <w:p>
      <w:pPr>
        <w:jc w:val="both"/>
      </w:pPr>
      <w:r>
        <w:rPr>
          <w:b w:val="0"/>
          <w:i w:val="0"/>
          <w:color w:val="000000"/>
          <w:sz w:val="24"/>
        </w:rPr>
        <w:t>Sử dụng SEM với biến tiềm ẩn (ESSA 5 chiều → biến tiềm ẩn "ALHT" → lo âu) thay vì hồi quy logistic ngưỡng cắt. Cho phép báo cáo β chuẩn hóa, R², CFI, RMSEA — so sánh trực tiếp với meta-analysis quốc tế và chương 3 luận án.</w:t>
      </w:r>
    </w:p>
    <w:p>
      <w:pPr>
        <w:jc w:val="both"/>
      </w:pPr>
      <w:r>
        <w:rPr>
          <w:b w:val="0"/>
          <w:i w:val="0"/>
          <w:color w:val="000000"/>
          <w:sz w:val="24"/>
        </w:rPr>
      </w:r>
    </w:p>
    <w:p>
      <w:pPr>
        <w:jc w:val="both"/>
      </w:pPr>
      <w:r>
        <w:rPr>
          <w:b/>
          <w:i w:val="0"/>
          <w:color w:val="000000"/>
          <w:sz w:val="24"/>
        </w:rPr>
        <w:t>ĐỀ XUẤT 3 — Phân tách 3 dạng RLLA</w:t>
      </w:r>
    </w:p>
    <w:p>
      <w:pPr>
        <w:jc w:val="both"/>
      </w:pPr>
      <w:r>
        <w:rPr>
          <w:b w:val="0"/>
          <w:i w:val="0"/>
          <w:color w:val="000000"/>
          <w:sz w:val="24"/>
        </w:rPr>
        <w:t>Thay DASS-Y (chỉ 1 thang lo âu) bằng RCADS (3 thang con: tổng quát, chia ly, xã hội) — phù hợp DSM-5 và phù hợp với chương 3 luận án CTH. Cho phép phát hiện pattern khác biệt theo loại RLLA.</w:t>
      </w:r>
    </w:p>
    <w:p>
      <w:pPr>
        <w:jc w:val="both"/>
      </w:pPr>
      <w:r>
        <w:rPr>
          <w:b w:val="0"/>
          <w:i w:val="0"/>
          <w:color w:val="000000"/>
          <w:sz w:val="24"/>
        </w:rPr>
      </w:r>
    </w:p>
    <w:p>
      <w:pPr>
        <w:jc w:val="both"/>
      </w:pPr>
      <w:r>
        <w:rPr>
          <w:b/>
          <w:i w:val="0"/>
          <w:color w:val="000000"/>
          <w:sz w:val="24"/>
        </w:rPr>
        <w:t>ĐỀ XUẤT 4 — Bổ sung 5 yếu tố thiếu</w:t>
      </w:r>
    </w:p>
    <w:p>
      <w:pPr>
        <w:jc w:val="both"/>
      </w:pPr>
      <w:r>
        <w:rPr>
          <w:b w:val="0"/>
          <w:i w:val="0"/>
          <w:color w:val="000000"/>
          <w:sz w:val="24"/>
        </w:rPr>
        <w:t>Thêm vào mô hình: bắt nạt (OBVQ-R), tự trọng (RSES), hỗ trợ xã hội (MSPSS), nghiện điện thoại (SAS-SV), biện pháp đối phó (Brief-COPE). Giúp xây dựng mô hình tích hợp YTNC + YTBV như chương 3 — toàn diện hơn nhiều.</w:t>
      </w:r>
    </w:p>
    <w:p>
      <w:r>
        <w:rPr>
          <w:b/>
          <w:color w:val="1F497D"/>
          <w:sz w:val="26"/>
        </w:rPr>
        <w:t>5. CÂU TRẢ LỜI</w:t>
      </w:r>
    </w:p>
    <w:p>
      <w:pPr>
        <w:jc w:val="both"/>
      </w:pPr>
      <w:r>
        <w:rPr>
          <w:b/>
          <w:i w:val="0"/>
          <w:color w:val="0070C0"/>
          <w:sz w:val="24"/>
        </w:rPr>
        <w:t>Tóm gọn — VN020 là bài VN TỐT NHẤT về ALHT đến nay nhưng có 7 hạn chế phương pháp luận:</w:t>
      </w:r>
    </w:p>
    <w:p>
      <w:pPr>
        <w:pStyle w:val="ListBullet"/>
      </w:pPr>
      <w:r>
        <w:rPr>
          <w:color w:val="0070C0"/>
          <w:sz w:val="24"/>
        </w:rPr>
        <w:t>CHỈ 2 TRƯỜNG — không đại diện TPHCM (200+ trường THPT). Tỷ lệ lo âu (25,1% DASS-Y) khác xa VN029 (50,3% DASS-21, n=2.631) — gợi ý mẫu/thang đo phụ thuộc.</w:t>
      </w:r>
    </w:p>
    <w:p>
      <w:pPr>
        <w:pStyle w:val="ListBullet"/>
      </w:pPr>
      <w:r>
        <w:rPr>
          <w:color w:val="0070C0"/>
          <w:sz w:val="24"/>
        </w:rPr>
        <w:t>CHỌN LỚP THUẬN TIỆN ở bậc lớp (4 lớp/khối) — chỉ bậc trường ngẫu nhiên. Có thể có thiên lệch chọn lọc.</w:t>
      </w:r>
    </w:p>
    <w:p>
      <w:pPr>
        <w:pStyle w:val="ListBullet"/>
      </w:pPr>
      <w:r>
        <w:rPr>
          <w:color w:val="0070C0"/>
          <w:sz w:val="24"/>
        </w:rPr>
        <w:t>HỒI QUY LOGISTIC + ngưỡng cắt nhị phân — MẤT thông tin liên tục. Chỉ có OR, KHÔNG có β chuẩn hóa và R² → khó so sánh với meta-analysis quốc tế (Walder 2025: g=0,508–0,878).</w:t>
      </w:r>
    </w:p>
    <w:p>
      <w:pPr>
        <w:pStyle w:val="ListBullet"/>
      </w:pPr>
      <w:r>
        <w:rPr>
          <w:color w:val="0070C0"/>
          <w:sz w:val="24"/>
        </w:rPr>
        <w:t>KHÔNG PHÂN TÁCH 3 DẠNG RLLA — DASS-Y chỉ 1 thang lo âu. Mất phát hiện pattern khác biệt như chương 3 CTH (β ALHT khác cho RLLATQ 0,510 / RLLACL 0,253 / RLLAXH 0,490).</w:t>
      </w:r>
    </w:p>
    <w:p>
      <w:pPr>
        <w:pStyle w:val="ListBullet"/>
      </w:pPr>
      <w:r>
        <w:rPr>
          <w:color w:val="0070C0"/>
          <w:sz w:val="24"/>
        </w:rPr>
        <w:t>BỎ SÓT 5 YẾU TỐ quan trọng: bắt nạt, tự trọng, hỗ trợ xã hội, nghiện điện thoại, biện pháp đối phó. Mô hình KHÔNG kiểm soát các yếu tố này → kết luận "ESSA mạnh nhất" có thể overestimate.</w:t>
      </w:r>
    </w:p>
    <w:p>
      <w:pPr>
        <w:pStyle w:val="ListBullet"/>
      </w:pPr>
      <w:r>
        <w:rPr>
          <w:color w:val="0070C0"/>
          <w:sz w:val="24"/>
        </w:rPr>
        <w:t>DASS-Y chưa phổ biến quốc tế — không có meta-analysis so sánh DASS-Y vs DASS-21. Tỷ lệ 25,1% (DASS-Y) thấp hơn nhiều bài VN khác dùng DASS-21 (40–86%) — gợi ý ngưỡng có thể QUÁ NGHIÊM.</w:t>
      </w:r>
    </w:p>
    <w:p>
      <w:pPr>
        <w:pStyle w:val="ListBullet"/>
      </w:pPr>
      <w:r>
        <w:rPr>
          <w:color w:val="0070C0"/>
          <w:sz w:val="24"/>
        </w:rPr>
        <w:t>TẠP CHÍ Y HỌC TPHCM không PubMed/Scopus — giảm tin cậy và khả năng trích dẫn quốc tế. So với VN029 đăng Q1 Soc Psychiatry — VN020 yếu hơn về uy tín tạp chí.</w:t>
      </w:r>
    </w:p>
    <w:p>
      <w:pPr>
        <w:jc w:val="both"/>
      </w:pPr>
      <w:r>
        <w:rPr>
          <w:b/>
          <w:i w:val="0"/>
          <w:color w:val="0070C0"/>
          <w:sz w:val="24"/>
        </w:rPr>
        <w:t>Cách trích vào báo cáo CTH:</w:t>
      </w:r>
    </w:p>
    <w:p>
      <w:pPr>
        <w:jc w:val="both"/>
      </w:pPr>
      <w:r>
        <w:rPr>
          <w:b w:val="0"/>
          <w:i/>
          <w:color w:val="0070C0"/>
          <w:sz w:val="24"/>
        </w:rPr>
        <w:t>"Trần Hồ Vĩnh Lộc, Huỳnh Ngọc Vân Anh và Tô Gia Kiên (2024) trên 976 học sinh THPT tại 2 trường TPHCM — sử dụng DASS-Y (Szabó, 2010) và ESSA (Sun và cộng sự, 2011) — phát hiện áp lực học tập (ESSA ≥ 59) là yếu tố nguy cơ mạnh nhất tăng tỷ lệ lo âu (25,1% theo DASS-Y). Đây là một trong số ít nghiên cứu Việt Nam dùng thang đo chuẩn quốc tế cho áp lực học tập. Tuy nhiên, nghiên cứu có một số hạn chế phương pháp luận: (a) chỉ 2 trường TPHCM — không đại diện thành phố; (b) lấy mẫu thuận tiện ở bậc lớp; (c) phân tích logistic với ngưỡng cắt nhị phân thay vì SEM với β chuẩn hóa, làm mất thông tin liên tục; (d) DASS-Y chỉ một thang lo âu — không phân tách lo âu tổng quát, chia ly, và xã hội theo DSM-5; (e) bỏ sót các yếu tố quan trọng như bắt nạt, tự trọng, hỗ trợ xã hội. Khuyến nghị nghiên cứu tiếp theo mở rộng đa trường, áp dụng SEM với RCADS, và bổ sung mô hình tích hợp yếu tố nguy cơ + bảo vệ như chương 3 luận án."</w:t>
      </w:r>
    </w:p>
    <w:p>
      <w:r>
        <w:rPr>
          <w:b/>
          <w:color w:val="1F497D"/>
          <w:sz w:val="26"/>
        </w:rPr>
        <w:t>6. Tài liệu tham khảo</w:t>
      </w:r>
    </w:p>
    <w:p>
      <w:pPr>
        <w:ind w:left="567" w:hanging="567"/>
        <w:jc w:val="both"/>
      </w:pPr>
      <w:r>
        <w:rPr>
          <w:sz w:val="22"/>
        </w:rPr>
        <w:t>Lovibond, S. H., &amp; Lovibond, P. F. (1995). Manual for the Depression Anxiety Stress Scales (2nd ed.). Sydney: Psychology Foundation of Australia.</w:t>
      </w:r>
    </w:p>
    <w:p>
      <w:pPr>
        <w:ind w:left="567" w:hanging="567"/>
        <w:jc w:val="both"/>
      </w:pPr>
      <w:r>
        <w:rPr>
          <w:sz w:val="22"/>
        </w:rPr>
        <w:t>Pascoe, M. C., Hetrick, S. E., &amp; Parker, A. G. (2020). The impact of stress on students in secondary school and higher education. International Journal of Adolescence and Youth, 25(1), 104–112. https://doi.org/10.1080/02673843.2019.1596823 [QT067 trong cơ sở dữ liệu dự án.]</w:t>
      </w:r>
    </w:p>
    <w:p>
      <w:pPr>
        <w:ind w:left="567" w:hanging="567"/>
        <w:jc w:val="both"/>
      </w:pPr>
      <w:r>
        <w:rPr>
          <w:sz w:val="22"/>
        </w:rPr>
        <w:t>Sun, J., Dunne, M. P., Hou, X. Y., &amp; Xu, A. Q. (2011). Educational Stress Scale for Adolescents: Development, validity, and reliability with Chinese students. Journal of Psychoeducational Assessment, 29(6), 534–546. https://doi.org/10.1177/0734282910394976</w:t>
      </w:r>
    </w:p>
    <w:p>
      <w:pPr>
        <w:ind w:left="567" w:hanging="567"/>
        <w:jc w:val="both"/>
      </w:pPr>
      <w:r>
        <w:rPr>
          <w:sz w:val="22"/>
        </w:rPr>
        <w:t>Szabó, M. (2010). The short version of the Depression Anxiety Stress Scales (DASS-21): Factor structure in a young adolescent sample. Journal of Adolescence.</w:t>
      </w:r>
    </w:p>
    <w:p>
      <w:pPr>
        <w:ind w:left="567" w:hanging="567"/>
        <w:jc w:val="both"/>
      </w:pPr>
      <w:r>
        <w:rPr>
          <w:sz w:val="22"/>
        </w:rPr>
        <w:t>Trần, H. V. L., Huỳnh, N. V. A., &amp; Tô, G. K. (2024). Trầm cảm, lo âu, căng thẳng và các yếu tố liên quan ở học sinh THPT tại Thành phố Hồ Chí Minh. Tạp chí Y học TPHCM. [VN020 trong cơ sở dữ liệu dự án.]</w:t>
      </w:r>
    </w:p>
    <w:p>
      <w:pPr>
        <w:ind w:left="567" w:hanging="567"/>
        <w:jc w:val="both"/>
      </w:pPr>
      <w:r>
        <w:rPr>
          <w:sz w:val="22"/>
        </w:rPr>
        <w:t>Trúc, T. T., Dương, M. C., và cộng sự. (2025). Unmasking the burden of mental health symptoms and risk behaviors in Vietnamese adolescents: evidence from a multicenter cross-sectional study involving 2,631 high school students. Social Psychiatry and Psychiatric Epidemiology. [VN029 trong cơ sở dữ liệu dự án.]</w:t>
      </w:r>
    </w:p>
    <w:p>
      <w:pPr>
        <w:ind w:left="567" w:hanging="567"/>
        <w:jc w:val="both"/>
      </w:pPr>
      <w:r>
        <w:rPr>
          <w:sz w:val="22"/>
        </w:rPr>
        <w:t>Walder, N., Frey, A., Berger, T., và cộng sự. (2025). Digital mental health interventions for prevention and treatment of social anxiety disorder. Journal of Medical Internet Research. [QT040 trong cơ sở dữ liệu dự án.]</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